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2D7D747" w:rsidR="00093CA9" w:rsidRDefault="00F33512"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FC01AB"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6CF7D65" w:rsidR="00093CA9" w:rsidRPr="009920B0" w:rsidRDefault="001348F7" w:rsidP="009920B0">
            <w:pPr>
              <w:jc w:val="both"/>
              <w:rPr>
                <w:lang w:val="es-ES"/>
              </w:rPr>
            </w:pPr>
            <w:proofErr w:type="spellStart"/>
            <w:r w:rsidRPr="009920B0">
              <w:rPr>
                <w:lang w:val="es-ES"/>
              </w:rPr>
              <w:t>Roadmap</w:t>
            </w:r>
            <w:proofErr w:type="spellEnd"/>
            <w:r w:rsidRPr="009920B0">
              <w:rPr>
                <w:lang w:val="es-ES"/>
              </w:rPr>
              <w:t xml:space="preserve"> </w:t>
            </w:r>
            <w:proofErr w:type="spellStart"/>
            <w:r w:rsidRPr="009920B0">
              <w:rPr>
                <w:lang w:val="es-ES"/>
              </w:rPr>
              <w:t>of</w:t>
            </w:r>
            <w:proofErr w:type="spellEnd"/>
            <w:r w:rsidRPr="009920B0">
              <w:rPr>
                <w:lang w:val="es-ES"/>
              </w:rPr>
              <w:t xml:space="preserve"> </w:t>
            </w:r>
            <w:proofErr w:type="spellStart"/>
            <w:r w:rsidRPr="009920B0">
              <w:rPr>
                <w:lang w:val="es-ES"/>
              </w:rPr>
              <w:t>the</w:t>
            </w:r>
            <w:proofErr w:type="spellEnd"/>
            <w:r w:rsidRPr="009920B0">
              <w:rPr>
                <w:lang w:val="es-ES"/>
              </w:rPr>
              <w:t xml:space="preserve"> </w:t>
            </w:r>
            <w:proofErr w:type="spellStart"/>
            <w:r w:rsidRPr="009920B0">
              <w:rPr>
                <w:lang w:val="es-ES"/>
              </w:rPr>
              <w:t>Financial</w:t>
            </w:r>
            <w:proofErr w:type="spellEnd"/>
            <w:r w:rsidRPr="009920B0">
              <w:rPr>
                <w:lang w:val="es-ES"/>
              </w:rPr>
              <w:t xml:space="preserve"> </w:t>
            </w:r>
            <w:proofErr w:type="spellStart"/>
            <w:r w:rsidRPr="009920B0">
              <w:rPr>
                <w:lang w:val="es-ES"/>
              </w:rPr>
              <w:t>Superintendency</w:t>
            </w:r>
            <w:proofErr w:type="spellEnd"/>
            <w:r w:rsidRPr="009920B0">
              <w:rPr>
                <w:lang w:val="es-ES"/>
              </w:rPr>
              <w:t xml:space="preserve"> “</w:t>
            </w:r>
            <w:proofErr w:type="spellStart"/>
            <w:r w:rsidRPr="009920B0">
              <w:rPr>
                <w:lang w:val="es-ES"/>
              </w:rPr>
              <w:t>Towards</w:t>
            </w:r>
            <w:proofErr w:type="spellEnd"/>
            <w:r w:rsidRPr="009920B0">
              <w:rPr>
                <w:lang w:val="es-ES"/>
              </w:rPr>
              <w:t xml:space="preserve"> </w:t>
            </w:r>
            <w:proofErr w:type="spellStart"/>
            <w:r w:rsidRPr="009920B0">
              <w:rPr>
                <w:lang w:val="es-ES"/>
              </w:rPr>
              <w:t>the</w:t>
            </w:r>
            <w:proofErr w:type="spellEnd"/>
            <w:r w:rsidRPr="009920B0">
              <w:rPr>
                <w:lang w:val="es-ES"/>
              </w:rPr>
              <w:t xml:space="preserve"> </w:t>
            </w:r>
            <w:proofErr w:type="spellStart"/>
            <w:r w:rsidRPr="009920B0">
              <w:rPr>
                <w:lang w:val="es-ES"/>
              </w:rPr>
              <w:t>greening</w:t>
            </w:r>
            <w:proofErr w:type="spellEnd"/>
            <w:r w:rsidRPr="009920B0">
              <w:rPr>
                <w:lang w:val="es-ES"/>
              </w:rPr>
              <w:t xml:space="preserve"> </w:t>
            </w:r>
            <w:proofErr w:type="spellStart"/>
            <w:r w:rsidRPr="009920B0">
              <w:rPr>
                <w:lang w:val="es-ES"/>
              </w:rPr>
              <w:t>of</w:t>
            </w:r>
            <w:proofErr w:type="spellEnd"/>
            <w:r w:rsidRPr="009920B0">
              <w:rPr>
                <w:lang w:val="es-ES"/>
              </w:rPr>
              <w:t xml:space="preserve"> </w:t>
            </w:r>
            <w:proofErr w:type="spellStart"/>
            <w:r w:rsidRPr="009920B0">
              <w:rPr>
                <w:lang w:val="es-ES"/>
              </w:rPr>
              <w:t>the</w:t>
            </w:r>
            <w:proofErr w:type="spellEnd"/>
            <w:r w:rsidRPr="009920B0">
              <w:rPr>
                <w:lang w:val="es-ES"/>
              </w:rPr>
              <w:t xml:space="preserve"> </w:t>
            </w:r>
            <w:proofErr w:type="spellStart"/>
            <w:r w:rsidRPr="009920B0">
              <w:rPr>
                <w:lang w:val="es-ES"/>
              </w:rPr>
              <w:t>Colombian</w:t>
            </w:r>
            <w:proofErr w:type="spellEnd"/>
            <w:r w:rsidRPr="009920B0">
              <w:rPr>
                <w:lang w:val="es-ES"/>
              </w:rPr>
              <w:t xml:space="preserve"> </w:t>
            </w:r>
            <w:proofErr w:type="spellStart"/>
            <w:r w:rsidRPr="009920B0">
              <w:rPr>
                <w:lang w:val="es-ES"/>
              </w:rPr>
              <w:t>financial</w:t>
            </w:r>
            <w:proofErr w:type="spellEnd"/>
            <w:r w:rsidRPr="009920B0">
              <w:rPr>
                <w:lang w:val="es-ES"/>
              </w:rPr>
              <w:t xml:space="preserve"> </w:t>
            </w:r>
            <w:proofErr w:type="spellStart"/>
            <w:r w:rsidRPr="009920B0">
              <w:rPr>
                <w:lang w:val="es-ES"/>
              </w:rPr>
              <w:t>system</w:t>
            </w:r>
            <w:proofErr w:type="spellEnd"/>
            <w:r w:rsidRPr="009920B0">
              <w:rPr>
                <w:lang w:val="es-ES"/>
              </w:rPr>
              <w:t xml:space="preserve">: Green </w:t>
            </w:r>
            <w:proofErr w:type="spellStart"/>
            <w:r w:rsidRPr="009920B0">
              <w:rPr>
                <w:lang w:val="es-ES"/>
              </w:rPr>
              <w:t>Finance</w:t>
            </w:r>
            <w:proofErr w:type="spellEnd"/>
            <w:r w:rsidRPr="009920B0">
              <w:rPr>
                <w:lang w:val="es-ES"/>
              </w:rPr>
              <w:t xml:space="preserve"> and </w:t>
            </w:r>
            <w:proofErr w:type="spellStart"/>
            <w:r w:rsidRPr="009920B0">
              <w:rPr>
                <w:lang w:val="es-ES"/>
              </w:rPr>
              <w:t>Climate</w:t>
            </w:r>
            <w:proofErr w:type="spellEnd"/>
            <w:r w:rsidRPr="009920B0">
              <w:rPr>
                <w:lang w:val="es-ES"/>
              </w:rPr>
              <w:t xml:space="preserve"> Change </w:t>
            </w:r>
            <w:proofErr w:type="spellStart"/>
            <w:r w:rsidRPr="009920B0">
              <w:rPr>
                <w:lang w:val="es-ES"/>
              </w:rPr>
              <w:t>Strategy</w:t>
            </w:r>
            <w:proofErr w:type="spellEnd"/>
            <w:r w:rsidRPr="009920B0">
              <w:rPr>
                <w:lang w:val="es-ES"/>
              </w:rPr>
              <w:t xml:space="preserve"> </w:t>
            </w:r>
            <w:proofErr w:type="spellStart"/>
            <w:r w:rsidRPr="009920B0">
              <w:rPr>
                <w:lang w:val="es-ES"/>
              </w:rPr>
              <w:t>of</w:t>
            </w:r>
            <w:proofErr w:type="spellEnd"/>
            <w:r w:rsidRPr="009920B0">
              <w:rPr>
                <w:lang w:val="es-ES"/>
              </w:rPr>
              <w:t xml:space="preserve"> </w:t>
            </w:r>
            <w:proofErr w:type="spellStart"/>
            <w:r w:rsidRPr="009920B0">
              <w:rPr>
                <w:lang w:val="es-ES"/>
              </w:rPr>
              <w:t>the</w:t>
            </w:r>
            <w:proofErr w:type="spellEnd"/>
            <w:r w:rsidRPr="009920B0">
              <w:rPr>
                <w:lang w:val="es-ES"/>
              </w:rPr>
              <w:t xml:space="preserve"> </w:t>
            </w:r>
            <w:proofErr w:type="spellStart"/>
            <w:r w:rsidRPr="009920B0">
              <w:rPr>
                <w:lang w:val="es-ES"/>
              </w:rPr>
              <w:t>Financial</w:t>
            </w:r>
            <w:proofErr w:type="spellEnd"/>
            <w:r w:rsidRPr="009920B0">
              <w:rPr>
                <w:lang w:val="es-ES"/>
              </w:rPr>
              <w:t xml:space="preserve"> </w:t>
            </w:r>
            <w:proofErr w:type="spellStart"/>
            <w:r w:rsidRPr="009920B0">
              <w:rPr>
                <w:lang w:val="es-ES"/>
              </w:rPr>
              <w:t>Superintendence</w:t>
            </w:r>
            <w:proofErr w:type="spellEnd"/>
            <w:r w:rsidRPr="009920B0">
              <w:rPr>
                <w:lang w:val="es-ES"/>
              </w:rPr>
              <w:t xml:space="preserve"> </w:t>
            </w:r>
            <w:proofErr w:type="spellStart"/>
            <w:r w:rsidRPr="009920B0">
              <w:rPr>
                <w:lang w:val="es-ES"/>
              </w:rPr>
              <w:t>of</w:t>
            </w:r>
            <w:proofErr w:type="spellEnd"/>
            <w:r w:rsidRPr="009920B0">
              <w:rPr>
                <w:lang w:val="es-ES"/>
              </w:rPr>
              <w:t xml:space="preserve"> Colombia” (Hoja de ruta de la Superintendencia Financiera de Colombia “Hacia el </w:t>
            </w:r>
            <w:proofErr w:type="spellStart"/>
            <w:r w:rsidRPr="009920B0">
              <w:rPr>
                <w:lang w:val="es-ES"/>
              </w:rPr>
              <w:t>enverdecimiento</w:t>
            </w:r>
            <w:proofErr w:type="spellEnd"/>
            <w:r w:rsidRPr="009920B0">
              <w:rPr>
                <w:lang w:val="es-ES"/>
              </w:rPr>
              <w:t xml:space="preserve"> del sistema financiero colombiano: Estrategia de Finanzas Verdes y Cambio Climático de la Superintendencia Financiera de Colombia)</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8450DD0" w:rsidR="00093CA9" w:rsidRDefault="008B4231" w:rsidP="00093CA9">
            <w:hyperlink r:id="rId17" w:history="1">
              <w:r w:rsidRPr="008B4231">
                <w:rPr>
                  <w:rStyle w:val="Hyperlink"/>
                </w:rPr>
                <w:t>Web-archived link</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06286CC" w:rsidR="00093CA9" w:rsidRDefault="001348F7"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EDA27E3" w:rsidR="00093CA9" w:rsidRDefault="001348F7"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39C0F7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D4739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238F8E5" w:rsidR="00093CA9" w:rsidRDefault="001348F7"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EB1435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A9A9885" w14:textId="3F835C5F" w:rsidR="00480E53" w:rsidRDefault="00480E53" w:rsidP="00480E53">
            <w:pPr>
              <w:jc w:val="both"/>
            </w:pPr>
            <w:r>
              <w:t xml:space="preserve">The </w:t>
            </w:r>
            <w:r w:rsidRPr="00480E53">
              <w:t>primary goal is to promote a more resilient and transparent financial system by integrating the management of climate-related and environmental risks and opportunities into the core operations of financial institutions. The strategy is highly relevant to climate-related disclosure, as it establishes guidelines and regulatory expectations for the reporting of environmental, social, and governance (</w:t>
            </w:r>
            <w:r>
              <w:t>“</w:t>
            </w:r>
            <w:r w:rsidRPr="00480E53">
              <w:rPr>
                <w:u w:val="single"/>
              </w:rPr>
              <w:t>ESG</w:t>
            </w:r>
            <w:r>
              <w:t>”</w:t>
            </w:r>
            <w:r w:rsidRPr="00480E53">
              <w:t>) factors, including climate risks, in line with international frameworks such as the Task Force on Climate-related Financial Disclosures (</w:t>
            </w:r>
            <w:r>
              <w:t>“</w:t>
            </w:r>
            <w:r w:rsidRPr="00480E53">
              <w:rPr>
                <w:u w:val="single"/>
              </w:rPr>
              <w:t>TCFD</w:t>
            </w:r>
            <w:r>
              <w:t>”</w:t>
            </w:r>
            <w:r w:rsidRPr="00480E53">
              <w:t xml:space="preserve">) and Sustainability Accounting Standards Board </w:t>
            </w:r>
            <w:r>
              <w:t>(“</w:t>
            </w:r>
            <w:r w:rsidRPr="00480E53">
              <w:rPr>
                <w:u w:val="single"/>
              </w:rPr>
              <w:t>SASB</w:t>
            </w:r>
            <w:r>
              <w:t>”)</w:t>
            </w:r>
            <w:r w:rsidRPr="00480E53">
              <w:t xml:space="preserve">. </w:t>
            </w:r>
          </w:p>
          <w:p w14:paraId="18257824" w14:textId="5E374D3A" w:rsidR="00093CA9" w:rsidRDefault="00480E53" w:rsidP="00480E53">
            <w:pPr>
              <w:jc w:val="both"/>
            </w:pPr>
            <w:r w:rsidRPr="00480E53">
              <w:t>Regarding transition planning, the tool supports the alignment of financial flows with national and international climate objectives, including the Paris Agreement, by encouraging the development and use of a national Green Taxonomy, the creation of innovative green financial products, and the implementation of transition plans within financial institutions. In terms of prudential tools, the strategy incorporates climate and nature-related risks into supervisory practices, including scenario analysis, stress testing, and the integration of ESG risks into risk management frameworks, thereby strengthening the resilience of the financial sector to both physical and transition risks associated with climate change.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FECEC45" w:rsidR="00093CA9" w:rsidRDefault="00480E5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0DB873F" w:rsidR="00093CA9" w:rsidRPr="00173D7C" w:rsidRDefault="00480E53"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EB32C29" w:rsidR="00093CA9" w:rsidRPr="00173D7C" w:rsidRDefault="00480E53"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13D1A3A" w14:textId="2256FBBC" w:rsidR="003A69C8" w:rsidRPr="003A69C8" w:rsidRDefault="003A69C8" w:rsidP="003A69C8">
            <w:pPr>
              <w:jc w:val="both"/>
              <w:rPr>
                <w:color w:val="000000" w:themeColor="text1"/>
                <w:lang w:val="en-US"/>
              </w:rPr>
            </w:pPr>
            <w:r w:rsidRPr="003A69C8">
              <w:rPr>
                <w:color w:val="000000" w:themeColor="text1"/>
                <w:lang w:val="en-US"/>
              </w:rPr>
              <w:t xml:space="preserve">The document sets out various initiatives to be developed by the Superintendency of </w:t>
            </w:r>
            <w:r>
              <w:rPr>
                <w:color w:val="000000" w:themeColor="text1"/>
                <w:lang w:val="en-US"/>
              </w:rPr>
              <w:t>F</w:t>
            </w:r>
            <w:r w:rsidRPr="003A69C8">
              <w:rPr>
                <w:color w:val="000000" w:themeColor="text1"/>
                <w:lang w:val="en-US"/>
              </w:rPr>
              <w:t xml:space="preserve">inancial </w:t>
            </w:r>
            <w:r>
              <w:rPr>
                <w:color w:val="000000" w:themeColor="text1"/>
                <w:lang w:val="en-US"/>
              </w:rPr>
              <w:t>I</w:t>
            </w:r>
            <w:r w:rsidRPr="003A69C8">
              <w:rPr>
                <w:color w:val="000000" w:themeColor="text1"/>
                <w:lang w:val="en-US"/>
              </w:rPr>
              <w:t>nstitutions (</w:t>
            </w:r>
            <w:r>
              <w:rPr>
                <w:color w:val="000000" w:themeColor="text1"/>
                <w:lang w:val="en-US"/>
              </w:rPr>
              <w:t>“</w:t>
            </w:r>
            <w:r w:rsidRPr="003A69C8">
              <w:rPr>
                <w:color w:val="000000" w:themeColor="text1"/>
                <w:u w:val="single"/>
                <w:lang w:val="en-US"/>
              </w:rPr>
              <w:t>SFC</w:t>
            </w:r>
            <w:r>
              <w:rPr>
                <w:color w:val="000000" w:themeColor="text1"/>
                <w:lang w:val="en-US"/>
              </w:rPr>
              <w:t>”</w:t>
            </w:r>
            <w:r w:rsidRPr="003A69C8">
              <w:rPr>
                <w:color w:val="000000" w:themeColor="text1"/>
                <w:lang w:val="en-US"/>
              </w:rPr>
              <w:t>), which will be implemented over multiple years. By way of example, the entry into force of the Colombian Green Taxonomy is structured in multiple phases beginning in 2022 and extending over the short and medium term. Initial actions include awareness and training campaigns (from 2022 onward) and pilot projects (2022–2023) to assess the alignment of green financial products with the Taxonomy. In parallel, digital tools and implementation guides are being developed to facilitate its adoption. The process also includes regional cooperation for a Central American Sustainable Finance Taxonomy (2022–2023), with an emphasis on interoperability. Finally, ongoing participation in the Taxonomy Governance Body (from 2022 onward) will support the periodic update of criteria, including for additional environmental objectives such as climate change adaptation and biodiversity conservation.</w:t>
            </w:r>
          </w:p>
          <w:p w14:paraId="1A1B9D26" w14:textId="57E3152C" w:rsidR="003A69C8" w:rsidRPr="003A69C8" w:rsidRDefault="003A69C8" w:rsidP="003A69C8">
            <w:pPr>
              <w:jc w:val="both"/>
              <w:rPr>
                <w:color w:val="000000" w:themeColor="text1"/>
                <w:lang w:val="en-US"/>
              </w:rPr>
            </w:pPr>
            <w:r w:rsidRPr="003A69C8">
              <w:rPr>
                <w:color w:val="000000" w:themeColor="text1"/>
                <w:lang w:val="en-US"/>
              </w:rPr>
              <w:t>Likewise, the entry into force of the corporate disclosure initiatives is structured in multiple phases beginning in 2022 and extending into the medium term. The general purpose is to promote corporate disclosure—particularly among participants in the Colombian financial market—to support decision-making and improve the availability of data to identify, measure, monitor, and assess financial risks and opportunities related to climate change, biodiversity loss, and natural capital. Initial phases include participation in international disclosure initiatives such as the development of the ISSB global reporting architecture (from 2022 onward), awareness-raising and supervisory training on frameworks like TCFD, SASB, and ISSB (from 2022 onward), and support for the implementation of local disclosure requirements starting in 2024. In the medium term, the plan envisions defining the supervisor’s position on the disclosure of transition plans, net-zero targets, and related metrics, as well as identifying data gaps and tools needed to improve climate and biodiversity-related risk assessments (from 2023 onward).</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5AECA32F" w14:textId="77777777" w:rsidR="003A69C8" w:rsidRDefault="003A69C8" w:rsidP="003A69C8">
            <w:pPr>
              <w:jc w:val="both"/>
            </w:pPr>
            <w:r>
              <w:t xml:space="preserve">The policy tool is authored and issued by the </w:t>
            </w:r>
            <w:r w:rsidRPr="005C54D2">
              <w:rPr>
                <w:lang w:val="en-US"/>
              </w:rPr>
              <w:t xml:space="preserve">Superintendency of </w:t>
            </w:r>
            <w:r>
              <w:rPr>
                <w:lang w:val="en-US"/>
              </w:rPr>
              <w:t>F</w:t>
            </w:r>
            <w:r w:rsidRPr="005C54D2">
              <w:rPr>
                <w:lang w:val="en-US"/>
              </w:rPr>
              <w:t>inancial institutions</w:t>
            </w:r>
            <w:r>
              <w:rPr>
                <w:lang w:val="en-US"/>
              </w:rPr>
              <w:t xml:space="preserve">, </w:t>
            </w:r>
            <w:r>
              <w:t>which is a technical government agency attached to the Ministry of Finance and Public Credit. The SFC possesses legal personality, as well as administrative and financial autonomy, and its own assets.</w:t>
            </w:r>
          </w:p>
          <w:p w14:paraId="7961F236" w14:textId="433D1828" w:rsidR="00093CA9" w:rsidRDefault="003A69C8" w:rsidP="003A69C8">
            <w:pPr>
              <w:jc w:val="both"/>
            </w:pPr>
            <w:r>
              <w:t>The SFC acts as the primary supervisory authority for Colombia’s financial system. Its mandate, as established by law, is to exercise inspection, surveillance, and control over individuals and entities engaged in financial, securities, and insurance activities, as well as any other activities involving the management, use, or investment of resources collected from the public. The President of the Republic, in accordance with the law, carries out these supervisory functions through the SFC.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lastRenderedPageBreak/>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5318F72" w:rsidR="00093CA9" w:rsidRPr="006B7B0D" w:rsidRDefault="003A69C8" w:rsidP="00093CA9">
            <w:r w:rsidRPr="005E4C3B">
              <w:t xml:space="preserve">Superintendency of Financial </w:t>
            </w:r>
            <w:r>
              <w:t>I</w:t>
            </w:r>
            <w:r w:rsidRPr="005E4C3B">
              <w:t>nstitutions</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958B440" w:rsidR="00093CA9" w:rsidRPr="006B7B0D" w:rsidRDefault="003A69C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33FEF01" w:rsidR="00093CA9" w:rsidRPr="006B7B0D" w:rsidRDefault="003A69C8" w:rsidP="00093CA9">
            <w:r w:rsidRPr="003A69C8">
              <w:t>Ministry of Finance and Public Credit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0C74BC6" w:rsidR="00093CA9" w:rsidRPr="006B7B0D" w:rsidRDefault="003A69C8"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28AE764" w:rsidR="00093CA9" w:rsidRPr="006B7B0D" w:rsidRDefault="003A69C8" w:rsidP="00093CA9">
            <w:r w:rsidRPr="003A69C8">
              <w:t>Ministry of Environment and Sustainable Development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1CC8DCEF" w:rsidR="00093CA9" w:rsidRPr="006B7B0D" w:rsidRDefault="003A69C8"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1EF5790"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45A26451"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185211CC"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lastRenderedPageBreak/>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1F817CED"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526CC2A" w:rsidR="00093CA9" w:rsidRDefault="003A69C8"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4624B1F" w14:textId="50D851D0" w:rsidR="003A69C8" w:rsidRDefault="003A69C8" w:rsidP="00C86FAA">
            <w:pPr>
              <w:keepNext/>
              <w:jc w:val="both"/>
              <w:rPr>
                <w:color w:val="000000" w:themeColor="text1"/>
              </w:rPr>
            </w:pPr>
            <w:r>
              <w:rPr>
                <w:color w:val="000000" w:themeColor="text1"/>
              </w:rPr>
              <w:t>T</w:t>
            </w:r>
            <w:r w:rsidRPr="003A69C8">
              <w:rPr>
                <w:color w:val="000000" w:themeColor="text1"/>
              </w:rPr>
              <w:t xml:space="preserve">he document outlines several monitoring systems to oversee the implementation and enforcement of the policy tool, including periodic reporting requirements and the development of data-driven oversight mechanisms. Specifically, the </w:t>
            </w:r>
            <w:r>
              <w:rPr>
                <w:color w:val="000000" w:themeColor="text1"/>
              </w:rPr>
              <w:t>SFC</w:t>
            </w:r>
            <w:r w:rsidRPr="003A69C8">
              <w:rPr>
                <w:color w:val="000000" w:themeColor="text1"/>
              </w:rPr>
              <w:t xml:space="preserve"> has established biennial surveys—such as the </w:t>
            </w:r>
            <w:r w:rsidR="00C86FAA" w:rsidRPr="00C86FAA">
              <w:rPr>
                <w:color w:val="000000" w:themeColor="text1"/>
              </w:rPr>
              <w:t xml:space="preserve">Climate Risks and Opportunities Survey </w:t>
            </w:r>
            <w:r w:rsidR="00C86FAA">
              <w:rPr>
                <w:color w:val="000000" w:themeColor="text1"/>
              </w:rPr>
              <w:t>(</w:t>
            </w:r>
            <w:proofErr w:type="spellStart"/>
            <w:r w:rsidRPr="00C86FAA">
              <w:rPr>
                <w:i/>
                <w:iCs/>
                <w:color w:val="000000" w:themeColor="text1"/>
              </w:rPr>
              <w:t>Encuesta</w:t>
            </w:r>
            <w:proofErr w:type="spellEnd"/>
            <w:r w:rsidRPr="00C86FAA">
              <w:rPr>
                <w:i/>
                <w:iCs/>
                <w:color w:val="000000" w:themeColor="text1"/>
              </w:rPr>
              <w:t xml:space="preserve"> de </w:t>
            </w:r>
            <w:proofErr w:type="spellStart"/>
            <w:r w:rsidRPr="00C86FAA">
              <w:rPr>
                <w:i/>
                <w:iCs/>
                <w:color w:val="000000" w:themeColor="text1"/>
              </w:rPr>
              <w:t>Riesgos</w:t>
            </w:r>
            <w:proofErr w:type="spellEnd"/>
            <w:r w:rsidRPr="00C86FAA">
              <w:rPr>
                <w:i/>
                <w:iCs/>
                <w:color w:val="000000" w:themeColor="text1"/>
              </w:rPr>
              <w:t xml:space="preserve"> y </w:t>
            </w:r>
            <w:proofErr w:type="spellStart"/>
            <w:r w:rsidRPr="00C86FAA">
              <w:rPr>
                <w:i/>
                <w:iCs/>
                <w:color w:val="000000" w:themeColor="text1"/>
              </w:rPr>
              <w:t>Oportunidades</w:t>
            </w:r>
            <w:proofErr w:type="spellEnd"/>
            <w:r w:rsidRPr="00C86FAA">
              <w:rPr>
                <w:i/>
                <w:iCs/>
                <w:color w:val="000000" w:themeColor="text1"/>
              </w:rPr>
              <w:t xml:space="preserve"> </w:t>
            </w:r>
            <w:proofErr w:type="spellStart"/>
            <w:r w:rsidRPr="00C86FAA">
              <w:rPr>
                <w:i/>
                <w:iCs/>
                <w:color w:val="000000" w:themeColor="text1"/>
              </w:rPr>
              <w:t>Climática</w:t>
            </w:r>
            <w:r w:rsidRPr="003A69C8">
              <w:rPr>
                <w:color w:val="000000" w:themeColor="text1"/>
              </w:rPr>
              <w:t>s</w:t>
            </w:r>
            <w:proofErr w:type="spellEnd"/>
            <w:r w:rsidR="00C86FAA">
              <w:rPr>
                <w:color w:val="000000" w:themeColor="text1"/>
              </w:rPr>
              <w:t>)</w:t>
            </w:r>
            <w:r w:rsidRPr="003A69C8">
              <w:rPr>
                <w:color w:val="000000" w:themeColor="text1"/>
              </w:rPr>
              <w:t>—to assess the progress of financial institutions in integrating climate-related and environmental risks, with results published for public and stakeholder review (see section on the implementation and integration of the Green Finance and Climate Change Strategy, pages 17–18).</w:t>
            </w:r>
          </w:p>
          <w:p w14:paraId="3BA628EF" w14:textId="77777777" w:rsidR="003A69C8" w:rsidRDefault="003A69C8" w:rsidP="00C86FAA">
            <w:pPr>
              <w:keepNext/>
              <w:jc w:val="both"/>
              <w:rPr>
                <w:color w:val="000000" w:themeColor="text1"/>
              </w:rPr>
            </w:pPr>
          </w:p>
          <w:p w14:paraId="2C2128DB" w14:textId="3F4DB043" w:rsidR="00093CA9" w:rsidRPr="008017F9" w:rsidRDefault="003A69C8" w:rsidP="00C86FAA">
            <w:pPr>
              <w:keepNext/>
              <w:jc w:val="both"/>
              <w:rPr>
                <w:color w:val="000000" w:themeColor="text1"/>
              </w:rPr>
            </w:pPr>
            <w:r w:rsidRPr="003A69C8">
              <w:rPr>
                <w:color w:val="000000" w:themeColor="text1"/>
              </w:rPr>
              <w:t>Additionally, the SFC has issued regulatory instructions, such as Circular Externa 031 de 2021, which mandates differentiated ESG and climate-related disclosure requirements for issuers based on their size and market relevance, ensuring regular and standardized reporting (see section 3.3, "</w:t>
            </w:r>
            <w:r w:rsidR="00C86FAA" w:rsidRPr="00C86FAA">
              <w:t xml:space="preserve"> </w:t>
            </w:r>
            <w:r w:rsidR="00C86FAA" w:rsidRPr="00C86FAA">
              <w:rPr>
                <w:color w:val="000000" w:themeColor="text1"/>
              </w:rPr>
              <w:t>Availability of data, metrics, and information</w:t>
            </w:r>
            <w:r w:rsidRPr="003A69C8">
              <w:rPr>
                <w:color w:val="000000" w:themeColor="text1"/>
              </w:rPr>
              <w:t>," pages 29–32). The document also details plans to develop a "</w:t>
            </w:r>
            <w:r w:rsidR="00C86FAA" w:rsidRPr="00C86FAA">
              <w:t xml:space="preserve"> </w:t>
            </w:r>
            <w:r w:rsidR="00C86FAA" w:rsidRPr="00C86FAA">
              <w:rPr>
                <w:color w:val="000000" w:themeColor="text1"/>
              </w:rPr>
              <w:t>Climate Risk Dashboard</w:t>
            </w:r>
            <w:r w:rsidRPr="003A69C8">
              <w:rPr>
                <w:color w:val="000000" w:themeColor="text1"/>
              </w:rPr>
              <w:t>," a public control panel to monitor the evolution of climate risk exposure and the greening of the financial system, supporting transparency and ongoing supervision (see section 3.5, "</w:t>
            </w:r>
            <w:r w:rsidR="00C86FAA" w:rsidRPr="00C86FAA">
              <w:t xml:space="preserve"> </w:t>
            </w:r>
            <w:r w:rsidR="00C86FAA" w:rsidRPr="00C86FAA">
              <w:rPr>
                <w:color w:val="000000" w:themeColor="text1"/>
              </w:rPr>
              <w:t>Tools for the measurement and supervision of climate and nature-related risks</w:t>
            </w:r>
            <w:r w:rsidRPr="003A69C8">
              <w:rPr>
                <w:color w:val="000000" w:themeColor="text1"/>
              </w:rPr>
              <w:t>," pages 43–44). These mechanisms collectively ensure continuous monitoring, data availability, and public accountability in the implementation of the policy tool.</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4EBD43B8" w:rsidR="00CF5268" w:rsidRDefault="00CE22F9"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DDBD42B" w:rsidR="00CF5268" w:rsidRDefault="00CE22F9"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5E43474" w:rsidR="00CF5268" w:rsidRDefault="00CE22F9"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056745CC" w:rsidR="00CF5268" w:rsidRDefault="00CE22F9"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65ED6438" w:rsidR="00CF5268" w:rsidRDefault="00CE22F9"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F2AB2A0" w:rsidR="466E435B" w:rsidRDefault="00CE22F9"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4138EC0" w:rsidR="00CF5268" w:rsidRDefault="00CE22F9"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7D58216E" w:rsidR="466E435B" w:rsidRDefault="00CE22F9"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9077651" w:rsidR="466E435B" w:rsidRDefault="00CE22F9"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6E52D6EB" w:rsidR="466E435B" w:rsidRDefault="00CE22F9"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B0BD8DF" w:rsidR="466E435B" w:rsidRDefault="00CE22F9"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108BEB9C" w:rsidR="00CF5268" w:rsidRDefault="00CE22F9"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7243C1AE"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2C6A2447" w:rsidR="004B2D74" w:rsidRDefault="00CE22F9"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6A1E2322" w:rsidR="004B2D74" w:rsidRDefault="00536E9D"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2300EF25" w:rsidR="004B2D74" w:rsidRDefault="00536E9D"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61AF7A09" w:rsidR="004B2D74" w:rsidRDefault="006D03A7" w:rsidP="00DD3144">
            <w:r>
              <w:t>X</w:t>
            </w:r>
          </w:p>
        </w:tc>
        <w:tc>
          <w:tcPr>
            <w:tcW w:w="1447" w:type="dxa"/>
            <w:vAlign w:val="center"/>
          </w:tcPr>
          <w:p w14:paraId="33BBF79C" w14:textId="059D98D9"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23E9A554" w:rsidR="004B2D74" w:rsidRDefault="006D03A7" w:rsidP="00DD3144">
            <w:r>
              <w:t>X</w:t>
            </w:r>
          </w:p>
        </w:tc>
        <w:tc>
          <w:tcPr>
            <w:tcW w:w="1447" w:type="dxa"/>
            <w:vAlign w:val="center"/>
          </w:tcPr>
          <w:p w14:paraId="7C107B52" w14:textId="55785D3C"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09FD6C57" w:rsidR="004B2D74" w:rsidRDefault="006D03A7" w:rsidP="00DD3144">
            <w:r>
              <w:t>X</w:t>
            </w:r>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2A133999" w:rsidR="00C35794" w:rsidRDefault="00CE22F9" w:rsidP="00DD3144">
            <w:r>
              <w:t>The policy tool</w:t>
            </w:r>
            <w:r w:rsidRPr="00CE22F9">
              <w:t xml:space="preserve"> is specifically addressed to the financial sector, recognizing its critical role in addressing the challenges posed by climate change, biodiversity loss, and the degradation of natural capital. It highlights the sector’s responsibility not only as part of the solution but also in managing the financial risks associated with these environmental crises. Furthermore, the document outlines the importance of financial regulation and supervision in mitigating climate- and nature-related financial risks</w:t>
            </w:r>
            <w:r>
              <w:t xml:space="preserve"> </w:t>
            </w:r>
            <w:r w:rsidRPr="00CE22F9">
              <w:t>and aims to provide guidance and tools to support the sector’s effective response and contribution to a sustainable transition.</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lastRenderedPageBreak/>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5AF4A0C0"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34CA4EBE"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rsidRPr="00D55590"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30BE5D30" w14:textId="77777777" w:rsidR="0039223F" w:rsidRDefault="00D55590" w:rsidP="00DD3144">
            <w:r>
              <w:t>The policy tool</w:t>
            </w:r>
            <w:r w:rsidRPr="00CE22F9">
              <w:t xml:space="preserve"> is specifically addressed to the financial sector, recognizing its critical role in addressing the challenges posed by climate change, biodiversity loss, and the degradation of natural capital. It highlights the sector’s responsibility not only as part of the solution but also in managing the financial risks associated with these environmental crises. Furthermore, the document outlines the importance of financial regulation and supervision in mitigating </w:t>
            </w:r>
            <w:r w:rsidRPr="00CE22F9">
              <w:lastRenderedPageBreak/>
              <w:t>climate- and nature-related financial risks</w:t>
            </w:r>
            <w:r>
              <w:t xml:space="preserve"> </w:t>
            </w:r>
            <w:r w:rsidRPr="00CE22F9">
              <w:t>and aims to provide guidance and tools to support the sector’s effective response and contribution to a sustainable transition.</w:t>
            </w:r>
          </w:p>
          <w:p w14:paraId="1AF11E32" w14:textId="77777777" w:rsidR="00D55590" w:rsidRDefault="00D55590" w:rsidP="00DD3144"/>
          <w:p w14:paraId="020308A1" w14:textId="408553F4" w:rsidR="00D55590" w:rsidRPr="00D55590" w:rsidRDefault="00D55590" w:rsidP="00DD3144">
            <w:pPr>
              <w:rPr>
                <w:lang w:val="en-US"/>
              </w:rPr>
            </w:pPr>
            <w:r w:rsidRPr="00D55590">
              <w:t>Finally, it is worth noting that the document includes a specific roadmap for two sectors: (</w:t>
            </w:r>
            <w:proofErr w:type="spellStart"/>
            <w:r w:rsidRPr="00D55590">
              <w:t>i</w:t>
            </w:r>
            <w:proofErr w:type="spellEnd"/>
            <w:r w:rsidRPr="00D55590">
              <w:t>) credit institutions; and (ii) insurance entities</w:t>
            </w:r>
            <w:r w:rsidRPr="00D55590">
              <w:rPr>
                <w:lang w:val="en-US"/>
              </w:rPr>
              <w:t xml:space="preserve">. </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6AFB4CF4" w:rsidR="00524D54" w:rsidRPr="003577A4" w:rsidRDefault="00FC01AB" w:rsidP="00DD3144">
            <w:r w:rsidRPr="00FC01AB">
              <w:t>All entities headquartered in Colombia or conducting activities within the national territory.</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384A7FA9" w:rsidR="00524D54" w:rsidRPr="003577A4" w:rsidRDefault="00FC01AB" w:rsidP="00DD3144">
            <w:r w:rsidRPr="00FC01AB">
              <w:t>Financial institutions subject to the inspection and supervision of the SFC</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5EC62752" w:rsidR="00576ED8" w:rsidRDefault="00536E9D"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657C3385" w:rsidR="00911F20" w:rsidRDefault="00536E9D"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lastRenderedPageBreak/>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68D1736B" w:rsidR="00911F20" w:rsidRDefault="00536E9D"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4645C49C" w:rsidR="00911F20" w:rsidRDefault="00536E9D"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3751B982" w:rsidR="009C4798" w:rsidRDefault="00536E9D" w:rsidP="00DD3144">
            <w:r w:rsidRPr="0024663C">
              <w:rPr>
                <w:lang w:val="en-US"/>
              </w:rPr>
              <w:t xml:space="preserve">Although the </w:t>
            </w:r>
            <w:r>
              <w:rPr>
                <w:lang w:val="en-US"/>
              </w:rPr>
              <w:t xml:space="preserve">policy tool </w:t>
            </w:r>
            <w:r w:rsidRPr="0024663C">
              <w:rPr>
                <w:lang w:val="en-US"/>
              </w:rPr>
              <w:t>do</w:t>
            </w:r>
            <w:r>
              <w:rPr>
                <w:lang w:val="en-US"/>
              </w:rPr>
              <w:t>es</w:t>
            </w:r>
            <w:r w:rsidRPr="0024663C">
              <w:rPr>
                <w:lang w:val="en-US"/>
              </w:rPr>
              <w:t xml:space="preserve"> not specifically address the consequences of non-compliance, reference must be made to paragraph 3 of Article 208 of the Organic Statute of the Financial System (</w:t>
            </w:r>
            <w:proofErr w:type="spellStart"/>
            <w:r w:rsidRPr="0024663C">
              <w:rPr>
                <w:i/>
                <w:iCs/>
                <w:lang w:val="en-US"/>
              </w:rPr>
              <w:t>Estatuto</w:t>
            </w:r>
            <w:proofErr w:type="spellEnd"/>
            <w:r w:rsidRPr="0024663C">
              <w:rPr>
                <w:i/>
                <w:iCs/>
                <w:lang w:val="en-US"/>
              </w:rPr>
              <w:t xml:space="preserve"> </w:t>
            </w:r>
            <w:proofErr w:type="spellStart"/>
            <w:r w:rsidRPr="0024663C">
              <w:rPr>
                <w:i/>
                <w:iCs/>
                <w:lang w:val="en-US"/>
              </w:rPr>
              <w:t>Orgánico</w:t>
            </w:r>
            <w:proofErr w:type="spellEnd"/>
            <w:r w:rsidRPr="0024663C">
              <w:rPr>
                <w:i/>
                <w:iCs/>
                <w:lang w:val="en-US"/>
              </w:rPr>
              <w:t xml:space="preserve"> del Sistema Financiero</w:t>
            </w:r>
            <w:r w:rsidRPr="0024663C">
              <w:rPr>
                <w:lang w:val="en-US"/>
              </w:rPr>
              <w:t>), which sets forth the following sanctions: (</w:t>
            </w:r>
            <w:proofErr w:type="spellStart"/>
            <w:r w:rsidRPr="0024663C">
              <w:rPr>
                <w:lang w:val="en-US"/>
              </w:rPr>
              <w:t>i</w:t>
            </w:r>
            <w:proofErr w:type="spellEnd"/>
            <w:r w:rsidRPr="0024663C">
              <w:rPr>
                <w:lang w:val="en-US"/>
              </w:rPr>
              <w:t>) admonishment or warning; (ii) monetary fine; (iii) suspension or disqualification from positions requiring authorization by the SFC; and (iv) removal of administrators.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17729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337F2A87" w:rsidR="00C57511" w:rsidRPr="00FA0CF8" w:rsidRDefault="00726535"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RPr="00726535"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64628F62" w14:textId="7268DE92" w:rsidR="00726535" w:rsidRPr="00726535" w:rsidRDefault="00726535" w:rsidP="00726535">
            <w:pPr>
              <w:spacing w:line="276" w:lineRule="auto"/>
              <w:rPr>
                <w:color w:val="000000" w:themeColor="text1"/>
                <w:lang w:val="en-US"/>
              </w:rPr>
            </w:pPr>
            <w:r w:rsidRPr="00726535">
              <w:rPr>
                <w:color w:val="000000" w:themeColor="text1"/>
                <w:lang w:val="en-US"/>
              </w:rPr>
              <w:t xml:space="preserve">The </w:t>
            </w:r>
            <w:r>
              <w:rPr>
                <w:color w:val="000000" w:themeColor="text1"/>
                <w:lang w:val="en-US"/>
              </w:rPr>
              <w:t>SFC</w:t>
            </w:r>
            <w:r w:rsidRPr="00726535">
              <w:rPr>
                <w:color w:val="000000" w:themeColor="text1"/>
                <w:lang w:val="en-US"/>
              </w:rPr>
              <w:t xml:space="preserve"> has advanced a comprehensive set of initiatives aimed at integrating environmental, social, and governance (ESG) factors—particularly climate-related risks and opportunities—into the Colombian financial system. These efforts include the </w:t>
            </w:r>
            <w:r w:rsidRPr="00726535">
              <w:rPr>
                <w:i/>
                <w:iCs/>
                <w:color w:val="000000" w:themeColor="text1"/>
                <w:lang w:val="en-US"/>
              </w:rPr>
              <w:t>Green Finance and Climate Change Strategy</w:t>
            </w:r>
            <w:r w:rsidRPr="00726535">
              <w:rPr>
                <w:color w:val="000000" w:themeColor="text1"/>
                <w:lang w:val="en-US"/>
              </w:rPr>
              <w:t xml:space="preserve">, the </w:t>
            </w:r>
            <w:r w:rsidRPr="00726535">
              <w:rPr>
                <w:i/>
                <w:iCs/>
                <w:color w:val="000000" w:themeColor="text1"/>
                <w:lang w:val="en-US"/>
              </w:rPr>
              <w:t>Climate Risk and Transition Strategy Dashboard</w:t>
            </w:r>
            <w:r w:rsidRPr="00726535">
              <w:rPr>
                <w:color w:val="000000" w:themeColor="text1"/>
                <w:lang w:val="en-US"/>
              </w:rPr>
              <w:t xml:space="preserve">, and the </w:t>
            </w:r>
            <w:r w:rsidRPr="00726535">
              <w:rPr>
                <w:i/>
                <w:iCs/>
                <w:color w:val="000000" w:themeColor="text1"/>
                <w:lang w:val="en-US"/>
              </w:rPr>
              <w:t>Glossary of Sustainability Terms</w:t>
            </w:r>
            <w:r w:rsidRPr="00726535">
              <w:rPr>
                <w:color w:val="000000" w:themeColor="text1"/>
                <w:lang w:val="en-US"/>
              </w:rPr>
              <w:t xml:space="preserve">. </w:t>
            </w:r>
          </w:p>
          <w:p w14:paraId="7A457096" w14:textId="78036698" w:rsidR="00654950" w:rsidRPr="00726535" w:rsidRDefault="00726535" w:rsidP="00DD3144">
            <w:pPr>
              <w:spacing w:line="276" w:lineRule="auto"/>
              <w:rPr>
                <w:color w:val="000000" w:themeColor="text1"/>
                <w:lang w:val="en-US"/>
              </w:rPr>
            </w:pPr>
            <w:r w:rsidRPr="00726535">
              <w:rPr>
                <w:color w:val="000000" w:themeColor="text1"/>
                <w:lang w:val="en-US"/>
              </w:rPr>
              <w:t xml:space="preserve">Additionally, the SFC has conducted </w:t>
            </w:r>
            <w:r w:rsidRPr="00726535">
              <w:rPr>
                <w:b/>
                <w:bCs/>
                <w:color w:val="000000" w:themeColor="text1"/>
                <w:lang w:val="en-US"/>
              </w:rPr>
              <w:t>biennial surveys on ESG and climate-related risks and opportunities</w:t>
            </w:r>
            <w:r w:rsidRPr="00726535">
              <w:rPr>
                <w:color w:val="000000" w:themeColor="text1"/>
                <w:lang w:val="en-US"/>
              </w:rPr>
              <w:t xml:space="preserve"> (2018, 2020, and 2022), with detailed reports and annexes presenting key findings and data visualizations. Other notable studies include stress-testing frameworks for climate risk, ESG disclosure practices, and the assessment of climate risk impacts on the financial system—developed in coordination with the World Bank. These initiatives reflect the </w:t>
            </w:r>
            <w:r w:rsidRPr="00726535">
              <w:rPr>
                <w:color w:val="000000" w:themeColor="text1"/>
                <w:lang w:val="en-US"/>
              </w:rPr>
              <w:lastRenderedPageBreak/>
              <w:t>SFC’s ongoing commitment to greening the financial system and enhancing sustainability-related risk management and transparency.</w:t>
            </w:r>
            <w:r>
              <w:rPr>
                <w:color w:val="000000" w:themeColor="text1"/>
                <w:lang w:val="en-US"/>
              </w:rPr>
              <w:t xml:space="preserve"> The information is available at the following </w:t>
            </w:r>
            <w:hyperlink r:id="rId18" w:history="1">
              <w:r w:rsidRPr="00D55590">
                <w:rPr>
                  <w:rStyle w:val="Hyperlink"/>
                  <w:lang w:val="en-US"/>
                </w:rPr>
                <w:t>Web-archived link</w:t>
              </w:r>
            </w:hyperlink>
            <w:r>
              <w:rPr>
                <w:color w:val="000000" w:themeColor="text1"/>
                <w:lang w:val="en-US"/>
              </w:rPr>
              <w: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lastRenderedPageBreak/>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57D8EF2"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1CE1CEF4" w:rsidR="00CB1649" w:rsidRPr="00FA0CF8" w:rsidRDefault="00E27FDF"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190B1038" w14:textId="77777777" w:rsidR="00E27FDF" w:rsidRDefault="00E27FDF" w:rsidP="00DD3144">
            <w:pPr>
              <w:spacing w:line="276" w:lineRule="auto"/>
              <w:rPr>
                <w:color w:val="000000" w:themeColor="text1"/>
              </w:rPr>
            </w:pPr>
            <w:r w:rsidRPr="00E27FDF">
              <w:rPr>
                <w:color w:val="000000" w:themeColor="text1"/>
              </w:rPr>
              <w:t xml:space="preserve">The third edition of the biennial climate risks and opportunities survey conducted by the </w:t>
            </w:r>
            <w:r>
              <w:rPr>
                <w:color w:val="000000" w:themeColor="text1"/>
              </w:rPr>
              <w:t>SFC and published on May, 2023,</w:t>
            </w:r>
            <w:r w:rsidRPr="00E27FDF">
              <w:rPr>
                <w:color w:val="000000" w:themeColor="text1"/>
              </w:rPr>
              <w:t xml:space="preserve"> reveals significant progress in the Colombian financial system’s approach to environmental, social, and governance (ESG) and climate-related issues. Over 60% of financial entities now recognize ESG and climate matters as material financial risks, with increased involvement from boards and senior management. There is a notable shift from an administrative to a strategic integration of these issues, although many entities still lack comprehensive analysis of climate impacts on their strategies.</w:t>
            </w:r>
          </w:p>
          <w:p w14:paraId="21FC1B7F" w14:textId="74F5E97B" w:rsidR="00BE0825" w:rsidRDefault="00E27FDF" w:rsidP="00DD3144">
            <w:pPr>
              <w:spacing w:line="276" w:lineRule="auto"/>
              <w:rPr>
                <w:color w:val="000000" w:themeColor="text1"/>
              </w:rPr>
            </w:pPr>
            <w:r w:rsidRPr="00E27FDF">
              <w:rPr>
                <w:color w:val="000000" w:themeColor="text1"/>
              </w:rPr>
              <w:t xml:space="preserve"> Only 20% have clearly defined roles for risk management across all lines of </w:t>
            </w:r>
            <w:proofErr w:type="spellStart"/>
            <w:r w:rsidRPr="00E27FDF">
              <w:rPr>
                <w:color w:val="000000" w:themeColor="text1"/>
              </w:rPr>
              <w:t>defense</w:t>
            </w:r>
            <w:proofErr w:type="spellEnd"/>
            <w:r w:rsidRPr="00E27FDF">
              <w:rPr>
                <w:color w:val="000000" w:themeColor="text1"/>
              </w:rPr>
              <w:t>, and more than half do not yet have metrics to monitor climate risks and opportunities. However, the number of entities adopting international disclosure standards, such as TCFD, is rising, reflecting a growing commitment to transparency and alignment with global best practices, despite ongoing challenges in data, capacity, and innovation.</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DF870E1" w:rsidR="008063B5" w:rsidRDefault="00E27FDF"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0F29038F" w:rsidR="008063B5" w:rsidRDefault="00E27FDF" w:rsidP="00DD3144">
            <w:pPr>
              <w:spacing w:line="276" w:lineRule="auto"/>
              <w:rPr>
                <w:color w:val="000000" w:themeColor="text1"/>
              </w:rPr>
            </w:pPr>
            <w:r w:rsidRPr="00E27FDF">
              <w:rPr>
                <w:color w:val="000000" w:themeColor="text1"/>
              </w:rPr>
              <w:t>No known involvement in litigation</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337A30DC" w:rsidR="00042406" w:rsidRDefault="00E27FDF"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1B12C54" w:rsidR="00042406" w:rsidRDefault="00E27FDF"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34FE8C80" w:rsidR="00042406" w:rsidRDefault="00E27FDF"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079521B2"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F3A6215" w:rsidR="00042406" w:rsidRDefault="0059263C"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4E0CD784" w:rsidR="00042406" w:rsidRDefault="00F368E3" w:rsidP="00DD3144">
            <w:r>
              <w:t>X</w:t>
            </w:r>
          </w:p>
        </w:tc>
        <w:tc>
          <w:tcPr>
            <w:tcW w:w="1440" w:type="dxa"/>
            <w:vAlign w:val="center"/>
          </w:tcPr>
          <w:p w14:paraId="7EE9A7FE" w14:textId="77777777" w:rsidR="00042406" w:rsidRDefault="00042406" w:rsidP="00DD3144"/>
        </w:tc>
        <w:tc>
          <w:tcPr>
            <w:tcW w:w="1890" w:type="dxa"/>
            <w:vAlign w:val="center"/>
          </w:tcPr>
          <w:p w14:paraId="64DEAA9D" w14:textId="3131A6F8"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2239517D" w:rsidR="00042406" w:rsidRDefault="00F368E3" w:rsidP="00DD3144">
            <w:r>
              <w:t>X</w:t>
            </w:r>
          </w:p>
        </w:tc>
        <w:tc>
          <w:tcPr>
            <w:tcW w:w="1440" w:type="dxa"/>
            <w:vAlign w:val="center"/>
          </w:tcPr>
          <w:p w14:paraId="7603D43B" w14:textId="77777777" w:rsidR="00042406" w:rsidRDefault="00042406" w:rsidP="00DD3144"/>
        </w:tc>
        <w:tc>
          <w:tcPr>
            <w:tcW w:w="1890" w:type="dxa"/>
            <w:vAlign w:val="center"/>
          </w:tcPr>
          <w:p w14:paraId="0BF1E54E" w14:textId="58DF40A9"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65CBBD91" w:rsidR="00042406" w:rsidRDefault="00F368E3" w:rsidP="00DD3144">
            <w:r>
              <w:t>X</w:t>
            </w:r>
          </w:p>
        </w:tc>
        <w:tc>
          <w:tcPr>
            <w:tcW w:w="1440" w:type="dxa"/>
            <w:vAlign w:val="center"/>
          </w:tcPr>
          <w:p w14:paraId="61F239DB" w14:textId="77777777" w:rsidR="00042406" w:rsidRDefault="00042406" w:rsidP="00DD3144"/>
        </w:tc>
        <w:tc>
          <w:tcPr>
            <w:tcW w:w="1890" w:type="dxa"/>
            <w:vAlign w:val="center"/>
          </w:tcPr>
          <w:p w14:paraId="24A26498" w14:textId="02C8A0C1"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1DDDB204"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336752BB"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89C480C"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2A37A2A5"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RPr="00D55590"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54465BAB" w:rsidR="00D55590" w:rsidRPr="00D55590" w:rsidRDefault="00D55590" w:rsidP="00D55590">
            <w:pPr>
              <w:rPr>
                <w:lang w:val="en-US"/>
              </w:rPr>
            </w:pP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5E84CA27" w:rsidR="00EC42A1" w:rsidRDefault="0059263C"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7FBC476A"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274C132F" w:rsidR="00EC42A1" w:rsidRDefault="0059263C"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51D092AA"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15CD2FA6" w:rsidR="00EC42A1" w:rsidRDefault="0059263C" w:rsidP="00DD3144">
            <w:r>
              <w:t>X</w:t>
            </w:r>
          </w:p>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BA9BD68" w:rsidR="00EC42A1" w:rsidRDefault="0059263C" w:rsidP="00DD3144">
            <w:r>
              <w:t>X</w:t>
            </w:r>
          </w:p>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39D43146" w:rsidR="00EC42A1" w:rsidRDefault="0059263C" w:rsidP="00DD3144">
            <w:r>
              <w:t>X</w:t>
            </w:r>
          </w:p>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26AE016B" w:rsidR="00484663" w:rsidRDefault="0059263C"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05A85ABF"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7C7929E7" w:rsidR="00484663" w:rsidRDefault="0059263C"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49975F05"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264F08C5"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0CFC782" w:rsidR="00484663" w:rsidRDefault="0059263C"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1E25AC48"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3B951191" w:rsidR="00484663" w:rsidRDefault="0059263C"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06AEBF33"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78E9C770" w:rsidR="00484663" w:rsidRDefault="0059263C"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2590B4FC" w:rsidR="00484663" w:rsidRDefault="0059263C"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41103366" w:rsidR="00484663" w:rsidRDefault="0059263C" w:rsidP="00DD3144">
            <w:r>
              <w:t>X</w:t>
            </w:r>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3B7BF4B9" w:rsidR="00484663" w:rsidRDefault="0059263C"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1D683A7F" w:rsidR="00484663" w:rsidRDefault="0059263C" w:rsidP="00DD3144">
            <w:r>
              <w:t>X</w:t>
            </w:r>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4298D315" w:rsidR="00484663" w:rsidRDefault="0059263C"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BE6A843" w:rsidR="00484663" w:rsidRDefault="0059263C" w:rsidP="00DD3144">
            <w:r>
              <w:t>X</w:t>
            </w:r>
          </w:p>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5AD21829" w:rsidR="00484663" w:rsidRDefault="0059263C"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48F5C69E" w:rsidR="00484663" w:rsidRDefault="0059263C" w:rsidP="00DD3144">
            <w:r>
              <w:t>X</w:t>
            </w:r>
          </w:p>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17D1808E" w:rsidR="00484663" w:rsidRDefault="0059263C" w:rsidP="00DD3144">
            <w:r>
              <w:t>X</w:t>
            </w:r>
          </w:p>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5B3D834D" w:rsidR="00484663" w:rsidRDefault="0059263C"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61E31842" w:rsidR="00484663" w:rsidRDefault="0059263C"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60267C68" w:rsidR="00484663" w:rsidRDefault="0059263C"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0CB481D3"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03E53CB2"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0C561F41"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5EF9C8FE"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2FA0A3F2"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40BE556D"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60E0209F"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11504E6E"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50DD7D32"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19EB8EA2" w:rsidR="00484663" w:rsidRPr="00E069B8" w:rsidRDefault="00E069B8" w:rsidP="00E069B8">
            <w:pPr>
              <w:rPr>
                <w:lang w:val="en-US"/>
              </w:rPr>
            </w:pPr>
            <w:r w:rsidRPr="00E069B8">
              <w:rPr>
                <w:lang w:val="en-US"/>
              </w:rPr>
              <w:t>The policy tool encourages all supervised entities to publicly report on their environmental and social policies, strategies, and performance, thereby promoting transparency and comparability in the Colombian financial sector. These disclosure requirements are reinforced by ongoing supervisory expectations and are designed to facilitate informed decision-making and to align the sector with global standards</w:t>
            </w:r>
            <w:r>
              <w:rPr>
                <w:lang w:val="en-US"/>
              </w:rPr>
              <w:t>.</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C1E588A" w:rsidR="00DA416F" w:rsidRPr="00DD3144" w:rsidRDefault="00E069B8"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0F19433B" w:rsidR="00DA416F" w:rsidRPr="00DD3144" w:rsidRDefault="00E069B8" w:rsidP="00DD3144">
            <w:pPr>
              <w:keepNext/>
              <w:rPr>
                <w:rFonts w:ascii="Calibri" w:hAnsi="Calibri" w:cs="Calibri"/>
              </w:rPr>
            </w:pPr>
            <w:r>
              <w:rPr>
                <w:rFonts w:ascii="Calibri" w:hAnsi="Calibri" w:cs="Calibri"/>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318A0B5B" w:rsidR="00DA416F" w:rsidRPr="00DD3144" w:rsidRDefault="00E069B8"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7E27E39" w:rsidR="00DA416F" w:rsidRPr="00DD3144" w:rsidRDefault="00E069B8"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7111437" w:rsidR="00DA416F" w:rsidRPr="00DD3144" w:rsidRDefault="00E069B8"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E3E7972" w:rsidR="00DA416F" w:rsidRPr="00DD3144" w:rsidRDefault="005C3D7F" w:rsidP="00DD3144">
            <w:pPr>
              <w:keepNext/>
              <w:rPr>
                <w:rFonts w:ascii="Calibri" w:hAnsi="Calibri" w:cs="Calibri"/>
              </w:rPr>
            </w:pPr>
            <w:r>
              <w:rPr>
                <w:rFonts w:ascii="Calibri" w:hAnsi="Calibri" w:cs="Calibri"/>
              </w:rPr>
              <w:t>X</w:t>
            </w: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EC924AE" w:rsidR="00DA416F" w:rsidRPr="00DD3144" w:rsidRDefault="005C3D7F"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5912311" w:rsidR="00DA416F" w:rsidRPr="00DD3144" w:rsidRDefault="005C3D7F"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494D2EA4" w:rsidR="00DA416F" w:rsidRPr="00DD3144" w:rsidRDefault="005C3D7F"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BFB26AF" w:rsidR="00DA416F" w:rsidRPr="00DD3144" w:rsidRDefault="005C3D7F"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31031854" w:rsidR="00DA416F" w:rsidRPr="00DD3144" w:rsidRDefault="005C3D7F" w:rsidP="00DD3144">
            <w:pPr>
              <w:keepNext/>
              <w:rPr>
                <w:rFonts w:ascii="Calibri" w:hAnsi="Calibri" w:cs="Calibri"/>
              </w:rPr>
            </w:pPr>
            <w:r>
              <w:rPr>
                <w:rFonts w:ascii="Calibri" w:hAnsi="Calibri" w:cs="Calibri"/>
              </w:rPr>
              <w:t>X</w:t>
            </w: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D07C371" w:rsidR="00DA416F" w:rsidRPr="00DD3144" w:rsidRDefault="005C3D7F"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DE1A4E8" w:rsidR="00DA416F" w:rsidRPr="00DD3144" w:rsidRDefault="005C3D7F"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5C18B995" w:rsidR="00DA416F" w:rsidRPr="00DD3144" w:rsidRDefault="00FC01AB"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39C965BA" w:rsidR="00C4670C" w:rsidRPr="00C37D48" w:rsidRDefault="00D55590"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E505906" w:rsidR="00C4670C" w:rsidRPr="00C37D48" w:rsidRDefault="00D55590"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6B742DD1" w:rsidR="00C4670C" w:rsidRPr="00C37D48" w:rsidRDefault="00D55590"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630EA7D4" w:rsidR="00C4670C" w:rsidRPr="00C37D48" w:rsidRDefault="00D55590"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4449686D" w:rsidR="00C4670C" w:rsidRPr="00C37D48" w:rsidRDefault="00D55590"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F37F377" w:rsidR="00C4670C" w:rsidRPr="00C37D48" w:rsidRDefault="00D55590"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083FC37" w:rsidR="00C4670C" w:rsidRPr="00C37D48" w:rsidRDefault="00D55590"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526F979B" w:rsidR="00C4670C" w:rsidRPr="00C37D48" w:rsidRDefault="00D55590"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1E17F60B" w:rsidR="00C4670C" w:rsidRPr="00C37D48" w:rsidRDefault="00D55590"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1846CA95" w:rsidR="00C4670C" w:rsidRPr="00C37D48" w:rsidRDefault="00D55590"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6ED66DA6" w:rsidR="00C4670C" w:rsidRPr="00C37D48" w:rsidRDefault="00D55590"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33969FF" w:rsidR="00C4670C" w:rsidRPr="00C37D48" w:rsidRDefault="00D55590"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3B9481D7" w:rsidR="00C4670C" w:rsidRPr="00C37D48" w:rsidRDefault="00FC01AB"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3CA43CAB" w:rsidR="004F276F" w:rsidRPr="00C37D48" w:rsidRDefault="00D55590"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03B84E95" w:rsidR="004F276F" w:rsidRPr="00C37D48" w:rsidRDefault="00D55590" w:rsidP="00C37D48">
            <w:pPr>
              <w:rPr>
                <w:rFonts w:ascii="Calibri" w:hAnsi="Calibri" w:cs="Calibri"/>
              </w:rPr>
            </w:pPr>
            <w:r>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50AB512A" w:rsidR="004F276F" w:rsidRPr="00C37D48" w:rsidRDefault="00D55590" w:rsidP="00C37D48">
            <w:pPr>
              <w:rPr>
                <w:rFonts w:ascii="Calibri" w:hAnsi="Calibri" w:cs="Calibri"/>
              </w:rPr>
            </w:pPr>
            <w:r>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5BE2FD7C" w:rsidR="004F276F" w:rsidRPr="00C37D48" w:rsidRDefault="006D03A7" w:rsidP="00C37D48">
            <w:pPr>
              <w:rPr>
                <w:rFonts w:ascii="Calibri" w:hAnsi="Calibri" w:cs="Calibri"/>
              </w:rPr>
            </w:pPr>
            <w:r>
              <w:rPr>
                <w:rFonts w:ascii="Calibri" w:hAnsi="Calibri" w:cs="Calibri"/>
              </w:rPr>
              <w:t>X</w:t>
            </w:r>
          </w:p>
        </w:tc>
        <w:tc>
          <w:tcPr>
            <w:tcW w:w="1614" w:type="dxa"/>
            <w:vAlign w:val="center"/>
          </w:tcPr>
          <w:p w14:paraId="31A4BA41" w14:textId="31889480"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2E235D6F" w:rsidR="004F276F" w:rsidRPr="00C37D48" w:rsidRDefault="006D03A7" w:rsidP="00C37D48">
            <w:pPr>
              <w:rPr>
                <w:rFonts w:ascii="Calibri" w:hAnsi="Calibri" w:cs="Calibri"/>
              </w:rPr>
            </w:pPr>
            <w:r>
              <w:rPr>
                <w:rFonts w:ascii="Calibri" w:hAnsi="Calibri" w:cs="Calibri"/>
              </w:rPr>
              <w:t>X</w:t>
            </w:r>
          </w:p>
        </w:tc>
        <w:tc>
          <w:tcPr>
            <w:tcW w:w="1614" w:type="dxa"/>
            <w:vAlign w:val="center"/>
          </w:tcPr>
          <w:p w14:paraId="2080DD68" w14:textId="5FB5C8BE"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1C08B57D" w:rsidR="004F276F" w:rsidRPr="00C37D48" w:rsidRDefault="006D03A7" w:rsidP="00C37D48">
            <w:pPr>
              <w:rPr>
                <w:rFonts w:ascii="Calibri" w:hAnsi="Calibri" w:cs="Calibri"/>
              </w:rPr>
            </w:pPr>
            <w:r>
              <w:rPr>
                <w:rFonts w:ascii="Calibri" w:hAnsi="Calibri" w:cs="Calibri"/>
              </w:rPr>
              <w:t>X</w:t>
            </w: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4212ED84" w:rsidR="004F276F" w:rsidRPr="00C37D48" w:rsidRDefault="006D03A7" w:rsidP="00C37D48">
            <w:pPr>
              <w:rPr>
                <w:rFonts w:ascii="Calibri" w:hAnsi="Calibri" w:cs="Calibri"/>
              </w:rPr>
            </w:pPr>
            <w:r>
              <w:t>The policy tool</w:t>
            </w:r>
            <w:r w:rsidRPr="00CE22F9">
              <w:t xml:space="preserve"> is specifically addressed to the financial sector, recognizing its critical role in addressing the challenges posed by climate change, biodiversity loss, and the degradation of natural capital. It highlights the sector’s responsibility not only as part of the solution but also in managing the financial risks associated with these environmental crises. Furthermore, the document outlines the importance of financial regulation and supervision in mitigating climate- and nature-related financial risks</w:t>
            </w:r>
            <w:r>
              <w:t xml:space="preserve"> </w:t>
            </w:r>
            <w:r w:rsidRPr="00CE22F9">
              <w:t>and aims to provide guidance and tools to support the sector’s effective response and contribution to a sustainable transition.</w:t>
            </w: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4B45E07C" w:rsidR="004F276F" w:rsidRPr="00C37D48" w:rsidRDefault="00FC01AB"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52C1C48C" w:rsidR="004F276F" w:rsidRPr="00C37D48" w:rsidRDefault="00FC01AB"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6E9DFDFB" w:rsidR="004F276F" w:rsidRPr="00C37D48" w:rsidRDefault="00FC01AB"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3E257F31" w:rsidR="004F276F" w:rsidRPr="00C37D48" w:rsidRDefault="00FC01AB"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3F8D6221" w:rsidR="004F276F" w:rsidRPr="00C37D48" w:rsidRDefault="00FC01AB"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2DFA51F9" w:rsidR="004F276F" w:rsidRPr="00C37D48" w:rsidRDefault="00FC01AB"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2789F5" w:rsidR="004F276F" w:rsidRPr="00C37D48" w:rsidRDefault="00FC01AB"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42E4674D" w:rsidR="004F276F" w:rsidRPr="00C37D48" w:rsidRDefault="00FC01AB"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4F5BD302" w:rsidR="004F276F" w:rsidRPr="00C37D48" w:rsidRDefault="00FC01AB"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10BACBFF" w:rsidR="004F276F" w:rsidRPr="00C37D48" w:rsidRDefault="00FC01AB"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5C7C86D"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6930A810" w:rsidR="004F276F" w:rsidRPr="00C37D48" w:rsidRDefault="00FC01AB"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0AAC5105" w:rsidR="004F276F" w:rsidRPr="00C37D48" w:rsidRDefault="00FC01AB"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0FACF32D" w:rsidR="004F276F" w:rsidRPr="00C37D48" w:rsidRDefault="00FC01AB"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8F9CE53" w:rsidR="004F276F" w:rsidRPr="00C37D48" w:rsidRDefault="00FC01AB"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226D4336" w:rsidR="004F276F" w:rsidRPr="00C37D48" w:rsidRDefault="00FC01AB"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54B8283C" w:rsidR="004F276F" w:rsidRPr="00C37D48" w:rsidRDefault="00FC01AB"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37EC79C9" w:rsidR="004F276F" w:rsidRPr="00C37D48" w:rsidRDefault="00FC01AB"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0608F4C1" w:rsidR="004F276F" w:rsidRPr="00C37D48" w:rsidRDefault="00FC01AB"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20A256B3" w:rsidR="004F276F" w:rsidRPr="00C37D48" w:rsidRDefault="00FC01AB"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EE4C88D" w:rsidR="004F276F" w:rsidRPr="00C37D48" w:rsidRDefault="00FC01AB"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9EE938C" w:rsidR="004F276F" w:rsidRPr="00C37D48" w:rsidRDefault="00FC01AB"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509F6941" w:rsidR="004F276F" w:rsidRPr="00C37D48" w:rsidRDefault="00FC01AB"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22B8F0D0"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E819B1E" w14:textId="77777777" w:rsidR="004F276F" w:rsidRDefault="00D55590" w:rsidP="00C37D48">
            <w:r>
              <w:t>The policy tool</w:t>
            </w:r>
            <w:r w:rsidRPr="00CE22F9">
              <w:t xml:space="preserve"> is specifically addressed to the financial sector, recognizing its critical role in addressing the challenges posed by climate change, biodiversity loss, and the degradation of natural capital. It highlights the sector’s responsibility not only as part of the solution but also in managing the financial risks associated with these environmental crises. Furthermore, the document outlines the importance of financial regulation and supervision in mitigating climate- and nature-related financial risks</w:t>
            </w:r>
            <w:r>
              <w:t xml:space="preserve"> </w:t>
            </w:r>
            <w:r w:rsidRPr="00CE22F9">
              <w:t>and aims to provide guidance and tools to support the sector’s effective response and contribution to a sustainable transition.</w:t>
            </w:r>
          </w:p>
          <w:p w14:paraId="7170A795" w14:textId="77777777" w:rsidR="00D55590" w:rsidRDefault="00D55590" w:rsidP="00C37D48"/>
          <w:p w14:paraId="41EA3B18" w14:textId="2CF5A206" w:rsidR="00D55590" w:rsidRPr="00C37D48" w:rsidRDefault="00D55590" w:rsidP="00C37D48">
            <w:pPr>
              <w:rPr>
                <w:rFonts w:ascii="Calibri" w:hAnsi="Calibri" w:cs="Calibri"/>
              </w:rPr>
            </w:pPr>
            <w:r w:rsidRPr="00D55590">
              <w:rPr>
                <w:rFonts w:ascii="Calibri" w:hAnsi="Calibri" w:cs="Calibri"/>
              </w:rPr>
              <w:lastRenderedPageBreak/>
              <w:t>Finally, it is worth noting that the document includes a specific roadmap for two sectors: (</w:t>
            </w:r>
            <w:proofErr w:type="spellStart"/>
            <w:r w:rsidRPr="00D55590">
              <w:rPr>
                <w:rFonts w:ascii="Calibri" w:hAnsi="Calibri" w:cs="Calibri"/>
              </w:rPr>
              <w:t>i</w:t>
            </w:r>
            <w:proofErr w:type="spellEnd"/>
            <w:r w:rsidRPr="00D55590">
              <w:rPr>
                <w:rFonts w:ascii="Calibri" w:hAnsi="Calibri" w:cs="Calibri"/>
              </w:rPr>
              <w:t>) credit institutions; and (ii) insurance entities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59167212" w:rsidR="004F276F" w:rsidRPr="00C37D48" w:rsidRDefault="00FC01AB" w:rsidP="00C37D48">
            <w:pPr>
              <w:rPr>
                <w:rFonts w:ascii="Calibri" w:hAnsi="Calibri" w:cs="Calibri"/>
              </w:rPr>
            </w:pPr>
            <w:r w:rsidRPr="00FC01AB">
              <w:rPr>
                <w:rFonts w:ascii="Calibri" w:hAnsi="Calibri" w:cs="Calibri"/>
              </w:rPr>
              <w:t>All entities headquartered in Colombia or conducting activities within the national territory.</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1B0F568F" w:rsidR="004F276F" w:rsidRPr="00C37D48" w:rsidRDefault="00FC01AB" w:rsidP="00C37D48">
            <w:pPr>
              <w:rPr>
                <w:rFonts w:ascii="Calibri" w:hAnsi="Calibri" w:cs="Calibri"/>
              </w:rPr>
            </w:pPr>
            <w:r w:rsidRPr="00FC01AB">
              <w:rPr>
                <w:rFonts w:ascii="Calibri" w:hAnsi="Calibri" w:cs="Calibri"/>
              </w:rPr>
              <w:t>Financial institutions subject to the inspection and supervision of the SFC</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06F221FF" w:rsidR="004F276F" w:rsidRPr="00C37D48" w:rsidRDefault="00D55590"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20EF461" w:rsidR="004F276F" w:rsidRPr="00C37D48" w:rsidRDefault="00D55590"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lastRenderedPageBreak/>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62C1DE51" w:rsidR="004F276F" w:rsidRPr="00C37D48" w:rsidRDefault="00D55590" w:rsidP="00C37D48">
            <w:pPr>
              <w:rPr>
                <w:rFonts w:ascii="Calibri" w:hAnsi="Calibri" w:cs="Calibri"/>
              </w:rPr>
            </w:pPr>
            <w:r>
              <w:rPr>
                <w:rFonts w:ascii="Calibri" w:hAnsi="Calibri" w:cs="Calibri"/>
              </w:rPr>
              <w:t>X</w:t>
            </w: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427AA24A" w:rsidR="004F276F" w:rsidRPr="00C37D48" w:rsidRDefault="00D55590"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084B794C" w:rsidR="00711F61" w:rsidRPr="00C37D48" w:rsidRDefault="00D55590" w:rsidP="00C37D48">
            <w:pPr>
              <w:rPr>
                <w:rFonts w:ascii="Calibri" w:hAnsi="Calibri" w:cs="Calibri"/>
              </w:rPr>
            </w:pPr>
            <w:r w:rsidRPr="0024663C">
              <w:rPr>
                <w:lang w:val="en-US"/>
              </w:rPr>
              <w:t xml:space="preserve">Although the </w:t>
            </w:r>
            <w:r>
              <w:rPr>
                <w:lang w:val="en-US"/>
              </w:rPr>
              <w:t xml:space="preserve">policy tool </w:t>
            </w:r>
            <w:r w:rsidRPr="0024663C">
              <w:rPr>
                <w:lang w:val="en-US"/>
              </w:rPr>
              <w:t>do</w:t>
            </w:r>
            <w:r>
              <w:rPr>
                <w:lang w:val="en-US"/>
              </w:rPr>
              <w:t>es</w:t>
            </w:r>
            <w:r w:rsidRPr="0024663C">
              <w:rPr>
                <w:lang w:val="en-US"/>
              </w:rPr>
              <w:t xml:space="preserve"> not specifically address the consequences of non-compliance, reference must be made to paragraph 3 of Article 208 of the Organic Statute of the Financial System (</w:t>
            </w:r>
            <w:proofErr w:type="spellStart"/>
            <w:r w:rsidRPr="0024663C">
              <w:rPr>
                <w:i/>
                <w:iCs/>
                <w:lang w:val="en-US"/>
              </w:rPr>
              <w:t>Estatuto</w:t>
            </w:r>
            <w:proofErr w:type="spellEnd"/>
            <w:r w:rsidRPr="0024663C">
              <w:rPr>
                <w:i/>
                <w:iCs/>
                <w:lang w:val="en-US"/>
              </w:rPr>
              <w:t xml:space="preserve"> </w:t>
            </w:r>
            <w:proofErr w:type="spellStart"/>
            <w:r w:rsidRPr="0024663C">
              <w:rPr>
                <w:i/>
                <w:iCs/>
                <w:lang w:val="en-US"/>
              </w:rPr>
              <w:t>Orgánico</w:t>
            </w:r>
            <w:proofErr w:type="spellEnd"/>
            <w:r w:rsidRPr="0024663C">
              <w:rPr>
                <w:i/>
                <w:iCs/>
                <w:lang w:val="en-US"/>
              </w:rPr>
              <w:t xml:space="preserve"> del Sistema Financiero</w:t>
            </w:r>
            <w:r w:rsidRPr="0024663C">
              <w:rPr>
                <w:lang w:val="en-US"/>
              </w:rPr>
              <w:t>), which sets forth the following sanctions: (</w:t>
            </w:r>
            <w:proofErr w:type="spellStart"/>
            <w:r w:rsidRPr="0024663C">
              <w:rPr>
                <w:lang w:val="en-US"/>
              </w:rPr>
              <w:t>i</w:t>
            </w:r>
            <w:proofErr w:type="spellEnd"/>
            <w:r w:rsidRPr="0024663C">
              <w:rPr>
                <w:lang w:val="en-US"/>
              </w:rPr>
              <w:t>) admonishment or warning; (ii) monetary fine; (iii) suspension or disqualification from positions requiring authorization by the SFC; and (iv) removal of administrators.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1B28C4A6" w:rsidR="001F30DE" w:rsidRPr="00C37D48" w:rsidRDefault="00D55590"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692FA47" w14:textId="77777777" w:rsidR="00D55590" w:rsidRPr="00726535" w:rsidRDefault="00D55590" w:rsidP="00D55590">
            <w:pPr>
              <w:spacing w:line="276" w:lineRule="auto"/>
              <w:rPr>
                <w:color w:val="000000" w:themeColor="text1"/>
                <w:lang w:val="en-US"/>
              </w:rPr>
            </w:pPr>
            <w:r w:rsidRPr="00726535">
              <w:rPr>
                <w:color w:val="000000" w:themeColor="text1"/>
                <w:lang w:val="en-US"/>
              </w:rPr>
              <w:t xml:space="preserve">The </w:t>
            </w:r>
            <w:r>
              <w:rPr>
                <w:color w:val="000000" w:themeColor="text1"/>
                <w:lang w:val="en-US"/>
              </w:rPr>
              <w:t>SFC</w:t>
            </w:r>
            <w:r w:rsidRPr="00726535">
              <w:rPr>
                <w:color w:val="000000" w:themeColor="text1"/>
                <w:lang w:val="en-US"/>
              </w:rPr>
              <w:t xml:space="preserve"> has advanced a comprehensive set of initiatives aimed at integrating environmental, social, and governance (ESG) factors—particularly climate-related risks and opportunities—into the Colombian financial system. These efforts include the </w:t>
            </w:r>
            <w:r w:rsidRPr="00726535">
              <w:rPr>
                <w:i/>
                <w:iCs/>
                <w:color w:val="000000" w:themeColor="text1"/>
                <w:lang w:val="en-US"/>
              </w:rPr>
              <w:t>Green Finance and Climate Change Strategy</w:t>
            </w:r>
            <w:r w:rsidRPr="00726535">
              <w:rPr>
                <w:color w:val="000000" w:themeColor="text1"/>
                <w:lang w:val="en-US"/>
              </w:rPr>
              <w:t xml:space="preserve">, the </w:t>
            </w:r>
            <w:r w:rsidRPr="00726535">
              <w:rPr>
                <w:i/>
                <w:iCs/>
                <w:color w:val="000000" w:themeColor="text1"/>
                <w:lang w:val="en-US"/>
              </w:rPr>
              <w:t>Climate Risk and Transition Strategy Dashboard</w:t>
            </w:r>
            <w:r w:rsidRPr="00726535">
              <w:rPr>
                <w:color w:val="000000" w:themeColor="text1"/>
                <w:lang w:val="en-US"/>
              </w:rPr>
              <w:t xml:space="preserve">, and the </w:t>
            </w:r>
            <w:r w:rsidRPr="00726535">
              <w:rPr>
                <w:i/>
                <w:iCs/>
                <w:color w:val="000000" w:themeColor="text1"/>
                <w:lang w:val="en-US"/>
              </w:rPr>
              <w:t>Glossary of Sustainability Terms</w:t>
            </w:r>
            <w:r w:rsidRPr="00726535">
              <w:rPr>
                <w:color w:val="000000" w:themeColor="text1"/>
                <w:lang w:val="en-US"/>
              </w:rPr>
              <w:t xml:space="preserve">. </w:t>
            </w:r>
          </w:p>
          <w:p w14:paraId="3BA84EFA" w14:textId="33245FBF" w:rsidR="001F30DE" w:rsidRPr="00D55590" w:rsidRDefault="00D55590" w:rsidP="00D55590">
            <w:pPr>
              <w:rPr>
                <w:rFonts w:ascii="Calibri" w:hAnsi="Calibri" w:cs="Calibri"/>
              </w:rPr>
            </w:pPr>
            <w:r w:rsidRPr="00726535">
              <w:rPr>
                <w:color w:val="000000" w:themeColor="text1"/>
                <w:lang w:val="en-US"/>
              </w:rPr>
              <w:t xml:space="preserve">Additionally, the SFC has conducted </w:t>
            </w:r>
            <w:r w:rsidRPr="00726535">
              <w:rPr>
                <w:b/>
                <w:bCs/>
                <w:color w:val="000000" w:themeColor="text1"/>
                <w:lang w:val="en-US"/>
              </w:rPr>
              <w:t>biennial surveys on ESG and climate-related risks and opportunities</w:t>
            </w:r>
            <w:r w:rsidRPr="00726535">
              <w:rPr>
                <w:color w:val="000000" w:themeColor="text1"/>
                <w:lang w:val="en-US"/>
              </w:rPr>
              <w:t xml:space="preserve"> (2018, 2020, and 2022), with detailed reports and annexes presenting key findings and data visualizations. Other notable studies include stress-testing frameworks for climate risk, ESG disclosure practices, and the assessment of climate risk impacts on the financial system—developed in coordination with the World Bank. These initiatives reflect the SFC’s ongoing commitment to greening the financial system and enhancing sustainability-related risk management and transparency.</w:t>
            </w:r>
            <w:r>
              <w:rPr>
                <w:color w:val="000000" w:themeColor="text1"/>
                <w:lang w:val="en-US"/>
              </w:rPr>
              <w:t xml:space="preserve"> The information is available at the following </w:t>
            </w:r>
            <w:hyperlink r:id="rId19" w:history="1">
              <w:r w:rsidRPr="00D55590">
                <w:rPr>
                  <w:rStyle w:val="Hyperlink"/>
                  <w:lang w:val="en-US"/>
                </w:rPr>
                <w:t>Web-archived link</w:t>
              </w:r>
            </w:hyperlink>
            <w:r>
              <w:rPr>
                <w:color w:val="000000" w:themeColor="text1"/>
                <w:lang w:val="en-US"/>
              </w:rPr>
              <w:t>.</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1579EC0B" w:rsidR="001F30DE" w:rsidRPr="00C37D48" w:rsidRDefault="00D55590"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206CCEF" w14:textId="77777777" w:rsidR="00D55590" w:rsidRDefault="00D55590" w:rsidP="00D55590">
            <w:pPr>
              <w:spacing w:line="276" w:lineRule="auto"/>
              <w:rPr>
                <w:color w:val="000000" w:themeColor="text1"/>
              </w:rPr>
            </w:pPr>
            <w:r w:rsidRPr="00E27FDF">
              <w:rPr>
                <w:color w:val="000000" w:themeColor="text1"/>
              </w:rPr>
              <w:t xml:space="preserve">The third edition of the biennial climate risks and opportunities survey conducted by the </w:t>
            </w:r>
            <w:r>
              <w:rPr>
                <w:color w:val="000000" w:themeColor="text1"/>
              </w:rPr>
              <w:t>SFC and published on May, 2023,</w:t>
            </w:r>
            <w:r w:rsidRPr="00E27FDF">
              <w:rPr>
                <w:color w:val="000000" w:themeColor="text1"/>
              </w:rPr>
              <w:t xml:space="preserve"> reveals significant progress in the Colombian financial system’s approach to environmental, social, and governance (ESG) and climate-related issues. Over 60% of financial entities now recognize ESG and climate matters as material financial risks, with increased involvement from boards and senior management. There is a notable shift from an administrative to a strategic integration of these issues, although many entities still lack comprehensive analysis of climate impacts on their strategies.</w:t>
            </w:r>
          </w:p>
          <w:p w14:paraId="0CD89C5A" w14:textId="39F0E3D9" w:rsidR="001F30DE" w:rsidRPr="00C37D48" w:rsidRDefault="00D55590" w:rsidP="00D55590">
            <w:pPr>
              <w:rPr>
                <w:rFonts w:ascii="Calibri" w:hAnsi="Calibri" w:cs="Calibri"/>
              </w:rPr>
            </w:pPr>
            <w:r w:rsidRPr="00E27FDF">
              <w:rPr>
                <w:color w:val="000000" w:themeColor="text1"/>
              </w:rPr>
              <w:t xml:space="preserve"> Only 20% have clearly defined roles for risk management across all lines of </w:t>
            </w:r>
            <w:proofErr w:type="spellStart"/>
            <w:r w:rsidRPr="00E27FDF">
              <w:rPr>
                <w:color w:val="000000" w:themeColor="text1"/>
              </w:rPr>
              <w:t>defense</w:t>
            </w:r>
            <w:proofErr w:type="spellEnd"/>
            <w:r w:rsidRPr="00E27FDF">
              <w:rPr>
                <w:color w:val="000000" w:themeColor="text1"/>
              </w:rPr>
              <w:t>, and more than half do not yet have metrics to monitor climate risks and opportunities. However, the number of entities adopting international disclosure standards, such as TCFD, is rising, reflecting a growing commitment to transparency and alignment with global best practices, despite ongoing challenges in data, capacity, and innovation.</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052B3503" w:rsidR="001F30DE" w:rsidRPr="00C37D48" w:rsidRDefault="00D55590" w:rsidP="00C37D48">
            <w:pPr>
              <w:rPr>
                <w:rFonts w:ascii="Calibri" w:hAnsi="Calibri" w:cs="Calibri"/>
              </w:rPr>
            </w:pPr>
            <w:r>
              <w:rPr>
                <w:color w:val="000000" w:themeColor="text1"/>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429A0B58"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F1FDBDF"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lastRenderedPageBreak/>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4442D174" w:rsidR="004F48E8" w:rsidRPr="00C37D48" w:rsidRDefault="00D55590"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3920B2C6" w:rsidR="000A1365" w:rsidRPr="00C37D48" w:rsidRDefault="00C64A3F"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30184B85" w:rsidR="00D27551" w:rsidRPr="00C37D48" w:rsidRDefault="00C64A3F" w:rsidP="00C37D48">
            <w:pPr>
              <w:rPr>
                <w:rFonts w:ascii="Calibri" w:hAnsi="Calibri" w:cs="Calibri"/>
              </w:rPr>
            </w:pPr>
            <w:r>
              <w:rPr>
                <w:rFonts w:ascii="Calibri" w:hAnsi="Calibri" w:cs="Calibri"/>
              </w:rPr>
              <w:t xml:space="preserve"> </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34551DB9" w:rsidR="00850F36" w:rsidRPr="00C37D48" w:rsidRDefault="00C64A3F"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40621FF1" w:rsidR="00850F36" w:rsidRPr="00C37D48" w:rsidRDefault="00C64A3F"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0F70434F" w:rsidR="00850F36" w:rsidRPr="00C37D48" w:rsidRDefault="00C64A3F"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60D2F09C" w:rsidR="00850F36" w:rsidRPr="00C37D48" w:rsidRDefault="00C64A3F"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7657262" w:rsidR="00850F36" w:rsidRPr="00C37D48" w:rsidRDefault="00C64A3F"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9E1C7AF" w:rsidR="00850F36" w:rsidRPr="00C37D48" w:rsidRDefault="00C64A3F"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55B6533F" w:rsidR="00850F36" w:rsidRPr="00C37D48" w:rsidRDefault="00C64A3F"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EA48D73" w:rsidR="00850F36" w:rsidRPr="00C37D48" w:rsidRDefault="00C64A3F"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19D34E65" w:rsidR="00850F36" w:rsidRPr="00C37D48" w:rsidRDefault="00C64A3F"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5A733575" w:rsidR="00850F36" w:rsidRPr="00C37D48" w:rsidRDefault="00C64A3F"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10D6AF42" w:rsidR="00850F36" w:rsidRPr="00C37D48" w:rsidRDefault="00C64A3F"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170E4415" w:rsidR="00850F36" w:rsidRPr="00C37D48" w:rsidRDefault="00C64A3F"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2F15F65F" w:rsidR="00850F36" w:rsidRPr="00C37D48" w:rsidRDefault="00FC01AB"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1B509CBD" w:rsidR="000A1365" w:rsidRPr="00C37D48" w:rsidRDefault="00B56FF7"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7E99C637" w:rsidR="00C81DE5" w:rsidRPr="00C37D48" w:rsidRDefault="00B56FF7"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6C5617BA" w:rsidR="000A1365" w:rsidRPr="00C37D48" w:rsidRDefault="00B56FF7"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8FE412D" w:rsidR="000A1365" w:rsidRPr="00C37D48" w:rsidRDefault="00DA25FC"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D17515B" w:rsidR="000A1365" w:rsidRPr="00C37D48" w:rsidRDefault="00DA25FC"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299137D" w:rsidR="000A1365" w:rsidRPr="00C37D48" w:rsidRDefault="00DA25FC"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58D469A" w:rsidR="00D9431B" w:rsidRPr="00C37D48" w:rsidRDefault="00DA25FC"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7DA5185" w:rsidR="00890032" w:rsidRPr="00C37D48" w:rsidRDefault="00DA25FC"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6D764869" w:rsidR="00B610C2" w:rsidRPr="00610F28" w:rsidRDefault="00DA25FC" w:rsidP="00610F28">
            <w:pPr>
              <w:rPr>
                <w:rFonts w:ascii="Calibri" w:hAnsi="Calibri" w:cs="Calibri"/>
              </w:rPr>
            </w:pPr>
            <w:r>
              <w:rPr>
                <w:rFonts w:ascii="Calibri" w:hAnsi="Calibri" w:cs="Calibri"/>
              </w:rPr>
              <w:t>X</w:t>
            </w: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6DC4CFF7" w:rsidR="00B610C2" w:rsidRPr="00610F28" w:rsidRDefault="00DA25FC" w:rsidP="00610F28">
            <w:pPr>
              <w:rPr>
                <w:rFonts w:ascii="Calibri" w:hAnsi="Calibri" w:cs="Calibri"/>
              </w:rPr>
            </w:pPr>
            <w:r>
              <w:rPr>
                <w:rFonts w:ascii="Calibri" w:hAnsi="Calibri" w:cs="Calibri"/>
              </w:rPr>
              <w:t>X</w:t>
            </w: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326B1F42" w:rsidR="00B610C2" w:rsidRPr="00610F28" w:rsidRDefault="00DA25FC"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29AE970" w:rsidR="00B610C2" w:rsidRPr="00610F28" w:rsidRDefault="00DA25FC"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BFA4BF3" w:rsidR="00B610C2" w:rsidRPr="00610F28" w:rsidRDefault="00DA25FC"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0DE1A7C3" w:rsidR="00B610C2" w:rsidRPr="00610F28" w:rsidRDefault="00B610C2" w:rsidP="00610F28">
            <w:pPr>
              <w:rPr>
                <w:rFonts w:ascii="Calibri" w:hAnsi="Calibri" w:cs="Calibri"/>
              </w:rPr>
            </w:pPr>
          </w:p>
        </w:tc>
        <w:tc>
          <w:tcPr>
            <w:tcW w:w="1450" w:type="dxa"/>
            <w:vAlign w:val="center"/>
          </w:tcPr>
          <w:p w14:paraId="52C7845D" w14:textId="24ED9C6A" w:rsidR="00B610C2" w:rsidRPr="00610F28" w:rsidRDefault="00DA25FC"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4A96474E" w:rsidR="00B610C2" w:rsidRPr="00610F28" w:rsidRDefault="00DA25FC" w:rsidP="00610F28">
            <w:pPr>
              <w:rPr>
                <w:rFonts w:ascii="Calibri" w:hAnsi="Calibri" w:cs="Calibri"/>
              </w:rPr>
            </w:pPr>
            <w:r>
              <w:rPr>
                <w:rFonts w:ascii="Calibri" w:hAnsi="Calibri" w:cs="Calibri"/>
              </w:rPr>
              <w:t>X</w:t>
            </w:r>
          </w:p>
        </w:tc>
        <w:tc>
          <w:tcPr>
            <w:tcW w:w="1450" w:type="dxa"/>
            <w:vAlign w:val="center"/>
          </w:tcPr>
          <w:p w14:paraId="7DEB21F8" w14:textId="023A490A"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4CD9532" w:rsidR="00B610C2" w:rsidRPr="00610F28" w:rsidRDefault="00DA25FC"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110C5F9" w:rsidR="00B610C2" w:rsidRPr="00610F28" w:rsidRDefault="00DA25FC"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B87A3EC" w:rsidR="00B610C2" w:rsidRPr="00610F28" w:rsidRDefault="00DA25FC"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899782B" w:rsidR="00B610C2" w:rsidRPr="00610F28" w:rsidRDefault="00FC01AB"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39718352" w:rsidR="00B610C2" w:rsidRPr="00610F28" w:rsidRDefault="00DA25FC" w:rsidP="00610F28">
            <w:pPr>
              <w:rPr>
                <w:rFonts w:ascii="Calibri" w:hAnsi="Calibri" w:cs="Calibri"/>
              </w:rPr>
            </w:pPr>
            <w:r w:rsidRPr="002D3FB4">
              <w:rPr>
                <w:rFonts w:ascii="Calibri" w:hAnsi="Calibri" w:cs="Calibri"/>
              </w:rPr>
              <w:t xml:space="preserve">Colombian Green Taxonomy </w:t>
            </w:r>
            <w:r>
              <w:rPr>
                <w:rFonts w:ascii="Calibri" w:hAnsi="Calibri" w:cs="Calibri"/>
              </w:rPr>
              <w:t>(</w:t>
            </w:r>
            <w:r>
              <w:rPr>
                <w:lang w:val="en-US"/>
              </w:rPr>
              <w:t xml:space="preserve">available at the following </w:t>
            </w:r>
            <w:hyperlink r:id="rId20" w:history="1">
              <w:r w:rsidRPr="00124797">
                <w:rPr>
                  <w:rStyle w:val="Hyperlink"/>
                  <w:lang w:val="en-US"/>
                </w:rPr>
                <w:t>Web-archived link</w:t>
              </w:r>
            </w:hyperlink>
            <w:r>
              <w:rPr>
                <w:lang w:val="en-US"/>
              </w:rPr>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50919287" w:rsidR="00D4323A" w:rsidRPr="00CF2E7C" w:rsidRDefault="006D03A7"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BAF2C71" w:rsidR="00D4323A" w:rsidRPr="00CF2E7C" w:rsidRDefault="006D03A7"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0A48DE5E" w:rsidR="00D4323A" w:rsidRPr="00CF2E7C" w:rsidRDefault="006D03A7"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2887849B" w:rsidR="00D4323A" w:rsidRPr="00CF2E7C" w:rsidRDefault="006D03A7"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1F6FA95" w:rsidR="00D4323A" w:rsidRPr="00CF2E7C" w:rsidRDefault="006D03A7"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2AF822E3" w:rsidR="00D4323A" w:rsidRPr="00CF2E7C" w:rsidRDefault="006D03A7"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0C5F2294" w:rsidR="00D4323A" w:rsidRPr="00CF2E7C" w:rsidRDefault="006D03A7"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38BE3F83" w:rsidR="00D4323A" w:rsidRPr="00CF2E7C" w:rsidRDefault="006D03A7"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59763D2" w:rsidR="00D4323A" w:rsidRPr="00CF2E7C" w:rsidRDefault="006D03A7"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4BDD6A52" w:rsidR="00D4323A" w:rsidRPr="00CF2E7C" w:rsidRDefault="006D03A7"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844AF86" w:rsidR="00D4323A" w:rsidRPr="00CF2E7C" w:rsidRDefault="006D03A7"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4E0E5217" w:rsidR="00D4323A" w:rsidRPr="00CF2E7C" w:rsidRDefault="006D03A7"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32A40BC6" w:rsidR="00D4323A" w:rsidRPr="00CF2E7C" w:rsidRDefault="00FC01AB"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16700EDB" w:rsidR="00DD292A" w:rsidRPr="00CF2E7C" w:rsidRDefault="006D03A7"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63F69A82" w:rsidR="00DD292A" w:rsidRPr="00CF2E7C" w:rsidRDefault="006D03A7"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06925ADA" w:rsidR="00DD292A" w:rsidRPr="00CF2E7C" w:rsidRDefault="006D03A7"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04439C77" w:rsidR="00DD292A" w:rsidRPr="00CF2E7C" w:rsidRDefault="006D03A7" w:rsidP="00CF2E7C">
            <w:pPr>
              <w:rPr>
                <w:rFonts w:ascii="Calibri" w:hAnsi="Calibri" w:cs="Calibri"/>
              </w:rPr>
            </w:pPr>
            <w:r>
              <w:rPr>
                <w:rFonts w:ascii="Calibri" w:hAnsi="Calibri" w:cs="Calibri"/>
              </w:rPr>
              <w:t>X</w:t>
            </w:r>
          </w:p>
        </w:tc>
        <w:tc>
          <w:tcPr>
            <w:tcW w:w="1455" w:type="dxa"/>
            <w:gridSpan w:val="2"/>
            <w:vAlign w:val="center"/>
          </w:tcPr>
          <w:p w14:paraId="21154B2A" w14:textId="26FB3B0C"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30D643FE" w:rsidR="00DD292A" w:rsidRPr="00CF2E7C" w:rsidRDefault="006D03A7" w:rsidP="00CF2E7C">
            <w:pPr>
              <w:rPr>
                <w:rFonts w:ascii="Calibri" w:hAnsi="Calibri" w:cs="Calibri"/>
              </w:rPr>
            </w:pPr>
            <w:r>
              <w:rPr>
                <w:rFonts w:ascii="Calibri" w:hAnsi="Calibri" w:cs="Calibri"/>
              </w:rPr>
              <w:t>X</w:t>
            </w:r>
          </w:p>
        </w:tc>
        <w:tc>
          <w:tcPr>
            <w:tcW w:w="1455" w:type="dxa"/>
            <w:gridSpan w:val="2"/>
            <w:vAlign w:val="center"/>
          </w:tcPr>
          <w:p w14:paraId="2844CBF5" w14:textId="0F14F1B0"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5A31FF39" w:rsidR="00DD292A" w:rsidRPr="00CF2E7C" w:rsidRDefault="006D03A7" w:rsidP="00CF2E7C">
            <w:pPr>
              <w:rPr>
                <w:rFonts w:ascii="Calibri" w:hAnsi="Calibri" w:cs="Calibri"/>
              </w:rPr>
            </w:pPr>
            <w:r>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A8031A2" w:rsidR="00DD292A" w:rsidRPr="00CF2E7C" w:rsidRDefault="006D03A7" w:rsidP="00CF2E7C">
            <w:pPr>
              <w:rPr>
                <w:rFonts w:ascii="Calibri" w:hAnsi="Calibri" w:cs="Calibri"/>
              </w:rPr>
            </w:pPr>
            <w:r>
              <w:t>The policy tool</w:t>
            </w:r>
            <w:r w:rsidRPr="00CE22F9">
              <w:t xml:space="preserve"> is specifically addressed to the financial sector, recognizing its critical role in addressing the challenges posed by climate change, biodiversity loss, and the degradation of natural capital. It highlights the sector’s responsibility not only as part of the solution but also in managing the financial risks associated with these environmental crises. Furthermore, the document outlines the importance of financial regulation and supervision in mitigating climate- and nature-related financial risks</w:t>
            </w:r>
            <w:r>
              <w:t xml:space="preserve"> </w:t>
            </w:r>
            <w:r w:rsidRPr="00CE22F9">
              <w:t>and aims to provide guidance and tools to support the sector’s effective response and contribution to a sustainable transition.</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500FF2CE" w:rsidR="00DD292A" w:rsidRPr="00CF2E7C" w:rsidRDefault="00986B58"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0EE2BBDB" w:rsidR="00DD292A" w:rsidRPr="00CF2E7C" w:rsidRDefault="00986B58"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2B4D6D11" w:rsidR="00DD292A" w:rsidRPr="00CF2E7C" w:rsidRDefault="00986B58"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545DFAF8" w:rsidR="00DD292A" w:rsidRPr="00CF2E7C" w:rsidRDefault="00986B58"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3471D51C" w:rsidR="00DD292A" w:rsidRPr="00CF2E7C" w:rsidRDefault="00986B58"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0E0964EC" w:rsidR="00DD292A" w:rsidRPr="00CF2E7C" w:rsidRDefault="00986B58"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lastRenderedPageBreak/>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19716BBB" w:rsidR="00DD292A" w:rsidRPr="00CF2E7C" w:rsidRDefault="00986B58"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2F3EAF0A" w:rsidR="00DD292A" w:rsidRPr="00CF2E7C" w:rsidRDefault="00986B58"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12CDDEC3" w:rsidR="00DD292A" w:rsidRPr="00CF2E7C" w:rsidRDefault="00986B58"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EE7A74B" w:rsidR="00DD292A" w:rsidRPr="00CF2E7C" w:rsidRDefault="00986B58"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576E184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1809DAE4" w:rsidR="00DD292A" w:rsidRPr="00CF2E7C" w:rsidRDefault="00986B58"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4D1F0D02" w:rsidR="00DD292A" w:rsidRPr="00CF2E7C" w:rsidRDefault="00986B58"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3B42D7B3" w:rsidR="00DD292A" w:rsidRPr="00CF2E7C" w:rsidRDefault="00986B58"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0E59BCEE" w:rsidR="00DD292A" w:rsidRPr="00CF2E7C" w:rsidRDefault="00986B58"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23B1B434" w:rsidR="00DD292A" w:rsidRPr="00CF2E7C" w:rsidRDefault="00986B58"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35AFC24" w:rsidR="00DD292A" w:rsidRPr="00CF2E7C" w:rsidRDefault="00986B58"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0487D556" w:rsidR="00DD292A" w:rsidRPr="00CF2E7C" w:rsidRDefault="00986B58"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6A0FF937" w:rsidR="00DD292A" w:rsidRPr="00CF2E7C" w:rsidRDefault="00986B58"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01D89CEF" w:rsidR="00DD292A" w:rsidRPr="00CF2E7C" w:rsidRDefault="00986B58"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6E092A27" w:rsidR="00DD292A" w:rsidRPr="00CF2E7C" w:rsidRDefault="00986B58"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0A31640" w:rsidR="00DD292A" w:rsidRPr="00CF2E7C" w:rsidRDefault="00986B58"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3B997E60" w:rsidR="00DD292A" w:rsidRPr="00CF2E7C" w:rsidRDefault="00986B58"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1D990280"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46A3D509" w:rsidR="00DD292A" w:rsidRPr="006D03A7" w:rsidRDefault="006D03A7" w:rsidP="00CF2E7C">
            <w:r>
              <w:t>The policy tool</w:t>
            </w:r>
            <w:r w:rsidRPr="00CE22F9">
              <w:t xml:space="preserve"> is specifically addressed to the financial sector, recognizing its critical role in addressing the challenges posed by climate change, biodiversity loss, and the degradation of natural capital. It highlights the sector’s responsibility not only as part of the solution but also in managing the financial risks associated with these environmental crises. Furthermore, the </w:t>
            </w:r>
            <w:r w:rsidRPr="00CE22F9">
              <w:lastRenderedPageBreak/>
              <w:t>document outlines the importance of financial regulation and supervision in mitigating climate- and nature-related financial risks</w:t>
            </w:r>
            <w:r>
              <w:t xml:space="preserve"> </w:t>
            </w:r>
            <w:r w:rsidRPr="00CE22F9">
              <w:t>and aims to provide guidance and tools to support the sector’s effective response and contribution to a sustainable transition.</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194E940D" w:rsidR="00DD292A" w:rsidRPr="00CF2E7C" w:rsidRDefault="00986B58" w:rsidP="00CF2E7C">
            <w:pPr>
              <w:rPr>
                <w:rFonts w:ascii="Calibri" w:hAnsi="Calibri" w:cs="Calibri"/>
              </w:rPr>
            </w:pPr>
            <w:r w:rsidRPr="00986B58">
              <w:rPr>
                <w:rFonts w:ascii="Calibri" w:hAnsi="Calibri" w:cs="Calibri"/>
              </w:rPr>
              <w:t>All entities headquartered in Colombia or conducting activities within the national territory.</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17E9D1FA" w:rsidR="00DD292A" w:rsidRPr="00CF2E7C" w:rsidRDefault="00986B58" w:rsidP="00CF2E7C">
            <w:pPr>
              <w:rPr>
                <w:rFonts w:ascii="Calibri" w:hAnsi="Calibri" w:cs="Calibri"/>
              </w:rPr>
            </w:pPr>
            <w:r w:rsidRPr="00986B58">
              <w:rPr>
                <w:rFonts w:ascii="Calibri" w:hAnsi="Calibri" w:cs="Calibri"/>
              </w:rPr>
              <w:t>Financial institutions subject to the inspection and supervision of the SFC</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62A01178" w:rsidR="00DD292A" w:rsidRPr="00CF2E7C" w:rsidRDefault="006D03A7"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31CB11F2" w:rsidR="00DD3B33" w:rsidRPr="00CF2E7C" w:rsidRDefault="006D03A7"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lastRenderedPageBreak/>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567C3339" w:rsidR="00DD3B33" w:rsidRPr="00CF2E7C" w:rsidRDefault="006D03A7" w:rsidP="00CF2E7C">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5C60864" w:rsidR="00DD3B33" w:rsidRPr="00CF2E7C" w:rsidRDefault="006D03A7"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3E7A19C7" w:rsidR="00DD3B33" w:rsidRPr="00CF2E7C" w:rsidRDefault="006D03A7" w:rsidP="00CF2E7C">
            <w:pPr>
              <w:rPr>
                <w:rFonts w:ascii="Calibri" w:hAnsi="Calibri" w:cs="Calibri"/>
              </w:rPr>
            </w:pPr>
            <w:r w:rsidRPr="0024663C">
              <w:rPr>
                <w:lang w:val="en-US"/>
              </w:rPr>
              <w:t xml:space="preserve">Although the </w:t>
            </w:r>
            <w:r>
              <w:rPr>
                <w:lang w:val="en-US"/>
              </w:rPr>
              <w:t xml:space="preserve">policy tool </w:t>
            </w:r>
            <w:r w:rsidRPr="0024663C">
              <w:rPr>
                <w:lang w:val="en-US"/>
              </w:rPr>
              <w:t>do</w:t>
            </w:r>
            <w:r>
              <w:rPr>
                <w:lang w:val="en-US"/>
              </w:rPr>
              <w:t>es</w:t>
            </w:r>
            <w:r w:rsidRPr="0024663C">
              <w:rPr>
                <w:lang w:val="en-US"/>
              </w:rPr>
              <w:t xml:space="preserve"> not specifically address the consequences of non-compliance, reference must be made to paragraph 3 of Article 208 of the Organic Statute of the Financial System (</w:t>
            </w:r>
            <w:proofErr w:type="spellStart"/>
            <w:r w:rsidRPr="0024663C">
              <w:rPr>
                <w:i/>
                <w:iCs/>
                <w:lang w:val="en-US"/>
              </w:rPr>
              <w:t>Estatuto</w:t>
            </w:r>
            <w:proofErr w:type="spellEnd"/>
            <w:r w:rsidRPr="0024663C">
              <w:rPr>
                <w:i/>
                <w:iCs/>
                <w:lang w:val="en-US"/>
              </w:rPr>
              <w:t xml:space="preserve"> </w:t>
            </w:r>
            <w:proofErr w:type="spellStart"/>
            <w:r w:rsidRPr="0024663C">
              <w:rPr>
                <w:i/>
                <w:iCs/>
                <w:lang w:val="en-US"/>
              </w:rPr>
              <w:t>Orgánico</w:t>
            </w:r>
            <w:proofErr w:type="spellEnd"/>
            <w:r w:rsidRPr="0024663C">
              <w:rPr>
                <w:i/>
                <w:iCs/>
                <w:lang w:val="en-US"/>
              </w:rPr>
              <w:t xml:space="preserve"> del Sistema Financiero</w:t>
            </w:r>
            <w:r w:rsidRPr="0024663C">
              <w:rPr>
                <w:lang w:val="en-US"/>
              </w:rPr>
              <w:t>), which sets forth the following sanctions: (</w:t>
            </w:r>
            <w:proofErr w:type="spellStart"/>
            <w:r w:rsidRPr="0024663C">
              <w:rPr>
                <w:lang w:val="en-US"/>
              </w:rPr>
              <w:t>i</w:t>
            </w:r>
            <w:proofErr w:type="spellEnd"/>
            <w:r w:rsidRPr="0024663C">
              <w:rPr>
                <w:lang w:val="en-US"/>
              </w:rPr>
              <w:t>) admonishment or warning; (ii) monetary fine; (iii) suspension or disqualification from positions requiring authorization by the SFC; and (iv) removal of administrators.</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3CFE43AB" w:rsidR="00DD292A" w:rsidRPr="00CF2E7C" w:rsidRDefault="006D03A7"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FA20E53" w14:textId="77777777" w:rsidR="006D03A7" w:rsidRPr="00726535" w:rsidRDefault="006D03A7" w:rsidP="006D03A7">
            <w:pPr>
              <w:spacing w:line="276" w:lineRule="auto"/>
              <w:rPr>
                <w:color w:val="000000" w:themeColor="text1"/>
                <w:lang w:val="en-US"/>
              </w:rPr>
            </w:pPr>
            <w:r w:rsidRPr="00726535">
              <w:rPr>
                <w:color w:val="000000" w:themeColor="text1"/>
                <w:lang w:val="en-US"/>
              </w:rPr>
              <w:t xml:space="preserve">The </w:t>
            </w:r>
            <w:r>
              <w:rPr>
                <w:color w:val="000000" w:themeColor="text1"/>
                <w:lang w:val="en-US"/>
              </w:rPr>
              <w:t>SFC</w:t>
            </w:r>
            <w:r w:rsidRPr="00726535">
              <w:rPr>
                <w:color w:val="000000" w:themeColor="text1"/>
                <w:lang w:val="en-US"/>
              </w:rPr>
              <w:t xml:space="preserve"> has advanced a comprehensive set of initiatives aimed at integrating environmental, social, and governance (ESG) factors—particularly climate-related risks and opportunities—into the Colombian financial system. These efforts include the </w:t>
            </w:r>
            <w:r w:rsidRPr="00726535">
              <w:rPr>
                <w:i/>
                <w:iCs/>
                <w:color w:val="000000" w:themeColor="text1"/>
                <w:lang w:val="en-US"/>
              </w:rPr>
              <w:t>Green Finance and Climate Change Strategy</w:t>
            </w:r>
            <w:r w:rsidRPr="00726535">
              <w:rPr>
                <w:color w:val="000000" w:themeColor="text1"/>
                <w:lang w:val="en-US"/>
              </w:rPr>
              <w:t xml:space="preserve">, the </w:t>
            </w:r>
            <w:r w:rsidRPr="00726535">
              <w:rPr>
                <w:i/>
                <w:iCs/>
                <w:color w:val="000000" w:themeColor="text1"/>
                <w:lang w:val="en-US"/>
              </w:rPr>
              <w:t>Climate Risk and Transition Strategy Dashboard</w:t>
            </w:r>
            <w:r w:rsidRPr="00726535">
              <w:rPr>
                <w:color w:val="000000" w:themeColor="text1"/>
                <w:lang w:val="en-US"/>
              </w:rPr>
              <w:t xml:space="preserve">, and the </w:t>
            </w:r>
            <w:r w:rsidRPr="00726535">
              <w:rPr>
                <w:i/>
                <w:iCs/>
                <w:color w:val="000000" w:themeColor="text1"/>
                <w:lang w:val="en-US"/>
              </w:rPr>
              <w:t>Glossary of Sustainability Terms</w:t>
            </w:r>
            <w:r w:rsidRPr="00726535">
              <w:rPr>
                <w:color w:val="000000" w:themeColor="text1"/>
                <w:lang w:val="en-US"/>
              </w:rPr>
              <w:t xml:space="preserve">. </w:t>
            </w:r>
          </w:p>
          <w:p w14:paraId="3ABC7AF0" w14:textId="77777777" w:rsidR="00986B58" w:rsidRDefault="006D03A7" w:rsidP="006D03A7">
            <w:pPr>
              <w:rPr>
                <w:color w:val="000000" w:themeColor="text1"/>
                <w:lang w:val="en-US"/>
              </w:rPr>
            </w:pPr>
            <w:r w:rsidRPr="00726535">
              <w:rPr>
                <w:color w:val="000000" w:themeColor="text1"/>
                <w:lang w:val="en-US"/>
              </w:rPr>
              <w:t xml:space="preserve">Additionally, the SFC has </w:t>
            </w:r>
            <w:r w:rsidRPr="00986B58">
              <w:rPr>
                <w:color w:val="000000" w:themeColor="text1"/>
                <w:lang w:val="en-US"/>
              </w:rPr>
              <w:t>conducted biennial surveys on ESG and climate-related risks and opportunities</w:t>
            </w:r>
            <w:r w:rsidRPr="00726535">
              <w:rPr>
                <w:color w:val="000000" w:themeColor="text1"/>
                <w:lang w:val="en-US"/>
              </w:rPr>
              <w:t xml:space="preserve"> (2018, 2020, and 2022), with detailed reports and annexes presenting key findings and data visualizations. Other notable studies include stress-testing frameworks for climate risk, ESG disclosure practices, and the assessment of climate risk impacts on the financial system—developed in coordination with the World Bank. These initiatives reflect the SFC’s ongoing commitment to greening the financial system and enhancing sustainability-related risk management and transparency.</w:t>
            </w:r>
            <w:r>
              <w:rPr>
                <w:color w:val="000000" w:themeColor="text1"/>
                <w:lang w:val="en-US"/>
              </w:rPr>
              <w:t xml:space="preserve"> </w:t>
            </w:r>
          </w:p>
          <w:p w14:paraId="496F7156" w14:textId="7FB0BFD6" w:rsidR="00DD292A" w:rsidRPr="00CF2E7C" w:rsidRDefault="006D03A7" w:rsidP="006D03A7">
            <w:pPr>
              <w:rPr>
                <w:rFonts w:ascii="Calibri" w:hAnsi="Calibri" w:cs="Calibri"/>
              </w:rPr>
            </w:pPr>
            <w:r>
              <w:rPr>
                <w:color w:val="000000" w:themeColor="text1"/>
                <w:lang w:val="en-US"/>
              </w:rPr>
              <w:t xml:space="preserve">The information is available at the following </w:t>
            </w:r>
            <w:hyperlink r:id="rId21" w:history="1">
              <w:r w:rsidRPr="00D55590">
                <w:rPr>
                  <w:rStyle w:val="Hyperlink"/>
                  <w:lang w:val="en-US"/>
                </w:rPr>
                <w:t>Web-archived link</w:t>
              </w:r>
            </w:hyperlink>
            <w:r>
              <w:rPr>
                <w:color w:val="000000" w:themeColor="text1"/>
                <w:lang w:val="en-US"/>
              </w:rPr>
              <w:t>.</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lastRenderedPageBreak/>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587E984A" w:rsidR="00DD292A" w:rsidRPr="00CF2E7C" w:rsidRDefault="006D03A7" w:rsidP="00CF2E7C">
            <w:pPr>
              <w:rPr>
                <w:rFonts w:ascii="Calibri" w:hAnsi="Calibri" w:cs="Calibri"/>
              </w:rPr>
            </w:pPr>
            <w:r>
              <w:rPr>
                <w:rFonts w:ascii="Calibri" w:hAnsi="Calibri" w:cs="Calibri"/>
              </w:rPr>
              <w:t>X</w:t>
            </w: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2D66048" w14:textId="77777777" w:rsidR="006D03A7" w:rsidRDefault="006D03A7" w:rsidP="006D03A7">
            <w:pPr>
              <w:spacing w:line="276" w:lineRule="auto"/>
              <w:rPr>
                <w:color w:val="000000" w:themeColor="text1"/>
              </w:rPr>
            </w:pPr>
            <w:r w:rsidRPr="00E27FDF">
              <w:rPr>
                <w:color w:val="000000" w:themeColor="text1"/>
              </w:rPr>
              <w:t xml:space="preserve">The third edition of the biennial climate risks and opportunities survey conducted by the </w:t>
            </w:r>
            <w:r>
              <w:rPr>
                <w:color w:val="000000" w:themeColor="text1"/>
              </w:rPr>
              <w:t>SFC and published on May, 2023,</w:t>
            </w:r>
            <w:r w:rsidRPr="00E27FDF">
              <w:rPr>
                <w:color w:val="000000" w:themeColor="text1"/>
              </w:rPr>
              <w:t xml:space="preserve"> reveals significant progress in the Colombian financial system’s approach to environmental, social, and governance (ESG) and climate-related issues. Over 60% of financial entities now recognize ESG and climate matters as material financial risks, with increased involvement from boards and senior management. There is a notable shift from an administrative to a strategic integration of these issues, although many entities still lack comprehensive analysis of climate impacts on their strategies.</w:t>
            </w:r>
          </w:p>
          <w:p w14:paraId="7394013F" w14:textId="25389408" w:rsidR="00DD292A" w:rsidRPr="00CF2E7C" w:rsidRDefault="006D03A7" w:rsidP="006D03A7">
            <w:pPr>
              <w:rPr>
                <w:rFonts w:ascii="Calibri" w:hAnsi="Calibri" w:cs="Calibri"/>
              </w:rPr>
            </w:pPr>
            <w:r w:rsidRPr="00E27FDF">
              <w:rPr>
                <w:color w:val="000000" w:themeColor="text1"/>
              </w:rPr>
              <w:t xml:space="preserve"> Only 20% have clearly defined roles for risk management across all lines of </w:t>
            </w:r>
            <w:proofErr w:type="spellStart"/>
            <w:r w:rsidRPr="00E27FDF">
              <w:rPr>
                <w:color w:val="000000" w:themeColor="text1"/>
              </w:rPr>
              <w:t>defense</w:t>
            </w:r>
            <w:proofErr w:type="spellEnd"/>
            <w:r w:rsidRPr="00E27FDF">
              <w:rPr>
                <w:color w:val="000000" w:themeColor="text1"/>
              </w:rPr>
              <w:t>, and more than half do not yet have metrics to monitor climate risks and opportunities. However, the number of entities adopting international disclosure standards, such as TCFD, is rising, reflecting a growing commitment to transparency and alignment with global best practices, despite ongoing challenges in data, capacity, and innovation.</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CE7536E" w:rsidR="00DD292A" w:rsidRPr="00CF2E7C" w:rsidRDefault="006D03A7"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6BC52F50"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072C43E2" w:rsidR="00410853" w:rsidRPr="00CF2E7C" w:rsidRDefault="006D03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834E67B" w:rsidR="00410853" w:rsidRPr="00CF2E7C" w:rsidRDefault="006D03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4D5D6F5E" w:rsidR="00F632FB" w:rsidRPr="00CF2E7C" w:rsidRDefault="009462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7E7F8D2C" w:rsidR="00F632FB" w:rsidRPr="00CF2E7C" w:rsidRDefault="009462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148647DC" w:rsidR="00F632FB" w:rsidRPr="00CF2E7C" w:rsidRDefault="009462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7E57D168" w:rsidR="008C4722" w:rsidRPr="00CF2E7C" w:rsidRDefault="009462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0A098FE0" w:rsidR="008C4722" w:rsidRPr="00CF2E7C" w:rsidRDefault="009462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BE1390D" w:rsidR="008C4722" w:rsidRPr="00CF2E7C" w:rsidRDefault="009462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7A5675CB" w:rsidR="008C4722" w:rsidRPr="00CF2E7C" w:rsidRDefault="009462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E81DFA" w14:textId="77777777" w:rsidR="002F604F" w:rsidRDefault="002F604F" w:rsidP="002F604F">
            <w:pPr>
              <w:textAlignment w:val="baseline"/>
              <w:rPr>
                <w:rFonts w:ascii="Calibri" w:eastAsia="Times New Roman" w:hAnsi="Calibri" w:cs="Calibri"/>
                <w:kern w:val="0"/>
                <w:lang w:val="en-US" w:eastAsia="en-GB"/>
                <w14:ligatures w14:val="none"/>
              </w:rPr>
            </w:pPr>
            <w:r w:rsidRPr="002F604F">
              <w:rPr>
                <w:rFonts w:ascii="Calibri" w:eastAsia="Times New Roman" w:hAnsi="Calibri" w:cs="Calibri"/>
                <w:kern w:val="0"/>
                <w:lang w:val="en-US" w:eastAsia="en-GB"/>
                <w14:ligatures w14:val="none"/>
              </w:rPr>
              <w:t>The policy tool addresses the incidence of climate-related financial risks on targeted entities by integrating these risks into the core risk management and supervisory frameworks. As detailed in the section “The Financial Sector and the Management of Financial Risks Derived from Climate Change and the Loss of Biodiversity and Natural Capital” (“</w:t>
            </w:r>
            <w:r w:rsidRPr="002F604F">
              <w:rPr>
                <w:rFonts w:ascii="Calibri" w:eastAsia="Times New Roman" w:hAnsi="Calibri" w:cs="Calibri"/>
                <w:i/>
                <w:iCs/>
                <w:kern w:val="0"/>
                <w:lang w:val="en-US" w:eastAsia="en-GB"/>
                <w14:ligatures w14:val="none"/>
              </w:rPr>
              <w:t xml:space="preserve">El sector </w:t>
            </w:r>
            <w:proofErr w:type="spellStart"/>
            <w:r w:rsidRPr="002F604F">
              <w:rPr>
                <w:rFonts w:ascii="Calibri" w:eastAsia="Times New Roman" w:hAnsi="Calibri" w:cs="Calibri"/>
                <w:i/>
                <w:iCs/>
                <w:kern w:val="0"/>
                <w:lang w:val="en-US" w:eastAsia="en-GB"/>
                <w14:ligatures w14:val="none"/>
              </w:rPr>
              <w:t>financiero</w:t>
            </w:r>
            <w:proofErr w:type="spellEnd"/>
            <w:r w:rsidRPr="002F604F">
              <w:rPr>
                <w:rFonts w:ascii="Calibri" w:eastAsia="Times New Roman" w:hAnsi="Calibri" w:cs="Calibri"/>
                <w:i/>
                <w:iCs/>
                <w:kern w:val="0"/>
                <w:lang w:val="en-US" w:eastAsia="en-GB"/>
                <w14:ligatures w14:val="none"/>
              </w:rPr>
              <w:t xml:space="preserve"> y la </w:t>
            </w:r>
            <w:proofErr w:type="spellStart"/>
            <w:r w:rsidRPr="002F604F">
              <w:rPr>
                <w:rFonts w:ascii="Calibri" w:eastAsia="Times New Roman" w:hAnsi="Calibri" w:cs="Calibri"/>
                <w:i/>
                <w:iCs/>
                <w:kern w:val="0"/>
                <w:lang w:val="en-US" w:eastAsia="en-GB"/>
                <w14:ligatures w14:val="none"/>
              </w:rPr>
              <w:t>gestión</w:t>
            </w:r>
            <w:proofErr w:type="spellEnd"/>
            <w:r w:rsidRPr="002F604F">
              <w:rPr>
                <w:rFonts w:ascii="Calibri" w:eastAsia="Times New Roman" w:hAnsi="Calibri" w:cs="Calibri"/>
                <w:i/>
                <w:iCs/>
                <w:kern w:val="0"/>
                <w:lang w:val="en-US" w:eastAsia="en-GB"/>
                <w14:ligatures w14:val="none"/>
              </w:rPr>
              <w:t xml:space="preserve"> de </w:t>
            </w:r>
            <w:proofErr w:type="spellStart"/>
            <w:r w:rsidRPr="002F604F">
              <w:rPr>
                <w:rFonts w:ascii="Calibri" w:eastAsia="Times New Roman" w:hAnsi="Calibri" w:cs="Calibri"/>
                <w:i/>
                <w:iCs/>
                <w:kern w:val="0"/>
                <w:lang w:val="en-US" w:eastAsia="en-GB"/>
                <w14:ligatures w14:val="none"/>
              </w:rPr>
              <w:t>los</w:t>
            </w:r>
            <w:proofErr w:type="spellEnd"/>
            <w:r w:rsidRPr="002F604F">
              <w:rPr>
                <w:rFonts w:ascii="Calibri" w:eastAsia="Times New Roman" w:hAnsi="Calibri" w:cs="Calibri"/>
                <w:i/>
                <w:iCs/>
                <w:kern w:val="0"/>
                <w:lang w:val="en-US" w:eastAsia="en-GB"/>
                <w14:ligatures w14:val="none"/>
              </w:rPr>
              <w:t xml:space="preserve"> </w:t>
            </w:r>
            <w:proofErr w:type="spellStart"/>
            <w:r w:rsidRPr="002F604F">
              <w:rPr>
                <w:rFonts w:ascii="Calibri" w:eastAsia="Times New Roman" w:hAnsi="Calibri" w:cs="Calibri"/>
                <w:i/>
                <w:iCs/>
                <w:kern w:val="0"/>
                <w:lang w:val="en-US" w:eastAsia="en-GB"/>
                <w14:ligatures w14:val="none"/>
              </w:rPr>
              <w:t>riesgos</w:t>
            </w:r>
            <w:proofErr w:type="spellEnd"/>
            <w:r w:rsidRPr="002F604F">
              <w:rPr>
                <w:rFonts w:ascii="Calibri" w:eastAsia="Times New Roman" w:hAnsi="Calibri" w:cs="Calibri"/>
                <w:i/>
                <w:iCs/>
                <w:kern w:val="0"/>
                <w:lang w:val="en-US" w:eastAsia="en-GB"/>
                <w14:ligatures w14:val="none"/>
              </w:rPr>
              <w:t xml:space="preserve"> </w:t>
            </w:r>
            <w:proofErr w:type="spellStart"/>
            <w:r w:rsidRPr="002F604F">
              <w:rPr>
                <w:rFonts w:ascii="Calibri" w:eastAsia="Times New Roman" w:hAnsi="Calibri" w:cs="Calibri"/>
                <w:i/>
                <w:iCs/>
                <w:kern w:val="0"/>
                <w:lang w:val="en-US" w:eastAsia="en-GB"/>
                <w14:ligatures w14:val="none"/>
              </w:rPr>
              <w:t>financieros</w:t>
            </w:r>
            <w:proofErr w:type="spellEnd"/>
            <w:r w:rsidRPr="002F604F">
              <w:rPr>
                <w:rFonts w:ascii="Calibri" w:eastAsia="Times New Roman" w:hAnsi="Calibri" w:cs="Calibri"/>
                <w:i/>
                <w:iCs/>
                <w:kern w:val="0"/>
                <w:lang w:val="en-US" w:eastAsia="en-GB"/>
                <w14:ligatures w14:val="none"/>
              </w:rPr>
              <w:t xml:space="preserve"> </w:t>
            </w:r>
            <w:proofErr w:type="spellStart"/>
            <w:r w:rsidRPr="002F604F">
              <w:rPr>
                <w:rFonts w:ascii="Calibri" w:eastAsia="Times New Roman" w:hAnsi="Calibri" w:cs="Calibri"/>
                <w:i/>
                <w:iCs/>
                <w:kern w:val="0"/>
                <w:lang w:val="en-US" w:eastAsia="en-GB"/>
                <w14:ligatures w14:val="none"/>
              </w:rPr>
              <w:t>derivados</w:t>
            </w:r>
            <w:proofErr w:type="spellEnd"/>
            <w:r w:rsidRPr="002F604F">
              <w:rPr>
                <w:rFonts w:ascii="Calibri" w:eastAsia="Times New Roman" w:hAnsi="Calibri" w:cs="Calibri"/>
                <w:i/>
                <w:iCs/>
                <w:kern w:val="0"/>
                <w:lang w:val="en-US" w:eastAsia="en-GB"/>
                <w14:ligatures w14:val="none"/>
              </w:rPr>
              <w:t xml:space="preserve"> del </w:t>
            </w:r>
            <w:proofErr w:type="spellStart"/>
            <w:r w:rsidRPr="002F604F">
              <w:rPr>
                <w:rFonts w:ascii="Calibri" w:eastAsia="Times New Roman" w:hAnsi="Calibri" w:cs="Calibri"/>
                <w:i/>
                <w:iCs/>
                <w:kern w:val="0"/>
                <w:lang w:val="en-US" w:eastAsia="en-GB"/>
                <w14:ligatures w14:val="none"/>
              </w:rPr>
              <w:t>cambio</w:t>
            </w:r>
            <w:proofErr w:type="spellEnd"/>
            <w:r w:rsidRPr="002F604F">
              <w:rPr>
                <w:rFonts w:ascii="Calibri" w:eastAsia="Times New Roman" w:hAnsi="Calibri" w:cs="Calibri"/>
                <w:i/>
                <w:iCs/>
                <w:kern w:val="0"/>
                <w:lang w:val="en-US" w:eastAsia="en-GB"/>
                <w14:ligatures w14:val="none"/>
              </w:rPr>
              <w:t xml:space="preserve"> </w:t>
            </w:r>
            <w:proofErr w:type="spellStart"/>
            <w:r w:rsidRPr="002F604F">
              <w:rPr>
                <w:rFonts w:ascii="Calibri" w:eastAsia="Times New Roman" w:hAnsi="Calibri" w:cs="Calibri"/>
                <w:i/>
                <w:iCs/>
                <w:kern w:val="0"/>
                <w:lang w:val="en-US" w:eastAsia="en-GB"/>
                <w14:ligatures w14:val="none"/>
              </w:rPr>
              <w:t>climático</w:t>
            </w:r>
            <w:proofErr w:type="spellEnd"/>
            <w:r w:rsidRPr="002F604F">
              <w:rPr>
                <w:rFonts w:ascii="Calibri" w:eastAsia="Times New Roman" w:hAnsi="Calibri" w:cs="Calibri"/>
                <w:i/>
                <w:iCs/>
                <w:kern w:val="0"/>
                <w:lang w:val="en-US" w:eastAsia="en-GB"/>
                <w14:ligatures w14:val="none"/>
              </w:rPr>
              <w:t xml:space="preserve"> y de la </w:t>
            </w:r>
            <w:proofErr w:type="spellStart"/>
            <w:r w:rsidRPr="002F604F">
              <w:rPr>
                <w:rFonts w:ascii="Calibri" w:eastAsia="Times New Roman" w:hAnsi="Calibri" w:cs="Calibri"/>
                <w:i/>
                <w:iCs/>
                <w:kern w:val="0"/>
                <w:lang w:val="en-US" w:eastAsia="en-GB"/>
                <w14:ligatures w14:val="none"/>
              </w:rPr>
              <w:t>pérdida</w:t>
            </w:r>
            <w:proofErr w:type="spellEnd"/>
            <w:r w:rsidRPr="002F604F">
              <w:rPr>
                <w:rFonts w:ascii="Calibri" w:eastAsia="Times New Roman" w:hAnsi="Calibri" w:cs="Calibri"/>
                <w:i/>
                <w:iCs/>
                <w:kern w:val="0"/>
                <w:lang w:val="en-US" w:eastAsia="en-GB"/>
                <w14:ligatures w14:val="none"/>
              </w:rPr>
              <w:t xml:space="preserve"> de la </w:t>
            </w:r>
            <w:proofErr w:type="spellStart"/>
            <w:r w:rsidRPr="002F604F">
              <w:rPr>
                <w:rFonts w:ascii="Calibri" w:eastAsia="Times New Roman" w:hAnsi="Calibri" w:cs="Calibri"/>
                <w:i/>
                <w:iCs/>
                <w:kern w:val="0"/>
                <w:lang w:val="en-US" w:eastAsia="en-GB"/>
                <w14:ligatures w14:val="none"/>
              </w:rPr>
              <w:t>biodiversidad</w:t>
            </w:r>
            <w:proofErr w:type="spellEnd"/>
            <w:r w:rsidRPr="002F604F">
              <w:rPr>
                <w:rFonts w:ascii="Calibri" w:eastAsia="Times New Roman" w:hAnsi="Calibri" w:cs="Calibri"/>
                <w:i/>
                <w:iCs/>
                <w:kern w:val="0"/>
                <w:lang w:val="en-US" w:eastAsia="en-GB"/>
                <w14:ligatures w14:val="none"/>
              </w:rPr>
              <w:t xml:space="preserve"> y </w:t>
            </w:r>
            <w:proofErr w:type="spellStart"/>
            <w:r w:rsidRPr="002F604F">
              <w:rPr>
                <w:rFonts w:ascii="Calibri" w:eastAsia="Times New Roman" w:hAnsi="Calibri" w:cs="Calibri"/>
                <w:i/>
                <w:iCs/>
                <w:kern w:val="0"/>
                <w:lang w:val="en-US" w:eastAsia="en-GB"/>
                <w14:ligatures w14:val="none"/>
              </w:rPr>
              <w:t>el</w:t>
            </w:r>
            <w:proofErr w:type="spellEnd"/>
            <w:r w:rsidRPr="002F604F">
              <w:rPr>
                <w:rFonts w:ascii="Calibri" w:eastAsia="Times New Roman" w:hAnsi="Calibri" w:cs="Calibri"/>
                <w:i/>
                <w:iCs/>
                <w:kern w:val="0"/>
                <w:lang w:val="en-US" w:eastAsia="en-GB"/>
                <w14:ligatures w14:val="none"/>
              </w:rPr>
              <w:t xml:space="preserve"> capital natural</w:t>
            </w:r>
            <w:r w:rsidRPr="002F604F">
              <w:rPr>
                <w:rFonts w:ascii="Calibri" w:eastAsia="Times New Roman" w:hAnsi="Calibri" w:cs="Calibri"/>
                <w:kern w:val="0"/>
                <w:lang w:val="en-US" w:eastAsia="en-GB"/>
                <w14:ligatures w14:val="none"/>
              </w:rPr>
              <w:t xml:space="preserve">”), the policy recognizes that both physical and transition risks </w:t>
            </w:r>
            <w:r w:rsidRPr="002F604F">
              <w:rPr>
                <w:rFonts w:ascii="Calibri" w:eastAsia="Times New Roman" w:hAnsi="Calibri" w:cs="Calibri"/>
                <w:kern w:val="0"/>
                <w:lang w:val="en-US" w:eastAsia="en-GB"/>
                <w14:ligatures w14:val="none"/>
              </w:rPr>
              <w:lastRenderedPageBreak/>
              <w:t xml:space="preserve">stemming from climate change can materially affect the assets, liabilities, and capital adequacy of financial institutions. </w:t>
            </w:r>
          </w:p>
          <w:p w14:paraId="1CF33861" w14:textId="2CA34057" w:rsidR="002F604F" w:rsidRPr="002F604F" w:rsidRDefault="002F604F" w:rsidP="002F604F">
            <w:pPr>
              <w:textAlignment w:val="baseline"/>
              <w:rPr>
                <w:rFonts w:ascii="Calibri" w:eastAsia="Times New Roman" w:hAnsi="Calibri" w:cs="Calibri"/>
                <w:kern w:val="0"/>
                <w:lang w:val="en-US" w:eastAsia="en-GB"/>
                <w14:ligatures w14:val="none"/>
              </w:rPr>
            </w:pPr>
            <w:r w:rsidRPr="002F604F">
              <w:rPr>
                <w:rFonts w:ascii="Calibri" w:eastAsia="Times New Roman" w:hAnsi="Calibri" w:cs="Calibri"/>
                <w:kern w:val="0"/>
                <w:lang w:val="en-US" w:eastAsia="en-GB"/>
                <w14:ligatures w14:val="none"/>
              </w:rPr>
              <w:t>The policy tool requires entities to incorporate climate-related risks into their governance structures, strategic planning, and risk management processes, as outlined in “Incorporation of ESG Issues, Including Climate and Nature, in the Financial System” (“</w:t>
            </w:r>
            <w:r w:rsidRPr="002F604F">
              <w:rPr>
                <w:rFonts w:ascii="Calibri" w:eastAsia="Times New Roman" w:hAnsi="Calibri" w:cs="Calibri"/>
                <w:i/>
                <w:iCs/>
                <w:kern w:val="0"/>
                <w:lang w:val="en-US" w:eastAsia="en-GB"/>
                <w14:ligatures w14:val="none"/>
              </w:rPr>
              <w:t xml:space="preserve">Incorporación de </w:t>
            </w:r>
            <w:proofErr w:type="spellStart"/>
            <w:r w:rsidRPr="002F604F">
              <w:rPr>
                <w:rFonts w:ascii="Calibri" w:eastAsia="Times New Roman" w:hAnsi="Calibri" w:cs="Calibri"/>
                <w:i/>
                <w:iCs/>
                <w:kern w:val="0"/>
                <w:lang w:val="en-US" w:eastAsia="en-GB"/>
                <w14:ligatures w14:val="none"/>
              </w:rPr>
              <w:t>los</w:t>
            </w:r>
            <w:proofErr w:type="spellEnd"/>
            <w:r w:rsidRPr="002F604F">
              <w:rPr>
                <w:rFonts w:ascii="Calibri" w:eastAsia="Times New Roman" w:hAnsi="Calibri" w:cs="Calibri"/>
                <w:i/>
                <w:iCs/>
                <w:kern w:val="0"/>
                <w:lang w:val="en-US" w:eastAsia="en-GB"/>
                <w14:ligatures w14:val="none"/>
              </w:rPr>
              <w:t xml:space="preserve"> </w:t>
            </w:r>
            <w:proofErr w:type="spellStart"/>
            <w:r w:rsidRPr="002F604F">
              <w:rPr>
                <w:rFonts w:ascii="Calibri" w:eastAsia="Times New Roman" w:hAnsi="Calibri" w:cs="Calibri"/>
                <w:i/>
                <w:iCs/>
                <w:kern w:val="0"/>
                <w:lang w:val="en-US" w:eastAsia="en-GB"/>
                <w14:ligatures w14:val="none"/>
              </w:rPr>
              <w:t>asuntos</w:t>
            </w:r>
            <w:proofErr w:type="spellEnd"/>
            <w:r w:rsidRPr="002F604F">
              <w:rPr>
                <w:rFonts w:ascii="Calibri" w:eastAsia="Times New Roman" w:hAnsi="Calibri" w:cs="Calibri"/>
                <w:i/>
                <w:iCs/>
                <w:kern w:val="0"/>
                <w:lang w:val="en-US" w:eastAsia="en-GB"/>
                <w14:ligatures w14:val="none"/>
              </w:rPr>
              <w:t xml:space="preserve"> ASG, </w:t>
            </w:r>
            <w:proofErr w:type="spellStart"/>
            <w:r w:rsidRPr="002F604F">
              <w:rPr>
                <w:rFonts w:ascii="Calibri" w:eastAsia="Times New Roman" w:hAnsi="Calibri" w:cs="Calibri"/>
                <w:i/>
                <w:iCs/>
                <w:kern w:val="0"/>
                <w:lang w:val="en-US" w:eastAsia="en-GB"/>
                <w14:ligatures w14:val="none"/>
              </w:rPr>
              <w:t>incluido</w:t>
            </w:r>
            <w:proofErr w:type="spellEnd"/>
            <w:r w:rsidRPr="002F604F">
              <w:rPr>
                <w:rFonts w:ascii="Calibri" w:eastAsia="Times New Roman" w:hAnsi="Calibri" w:cs="Calibri"/>
                <w:i/>
                <w:iCs/>
                <w:kern w:val="0"/>
                <w:lang w:val="en-US" w:eastAsia="en-GB"/>
                <w14:ligatures w14:val="none"/>
              </w:rPr>
              <w:t xml:space="preserve"> </w:t>
            </w:r>
            <w:proofErr w:type="spellStart"/>
            <w:r w:rsidRPr="002F604F">
              <w:rPr>
                <w:rFonts w:ascii="Calibri" w:eastAsia="Times New Roman" w:hAnsi="Calibri" w:cs="Calibri"/>
                <w:i/>
                <w:iCs/>
                <w:kern w:val="0"/>
                <w:lang w:val="en-US" w:eastAsia="en-GB"/>
                <w14:ligatures w14:val="none"/>
              </w:rPr>
              <w:t>el</w:t>
            </w:r>
            <w:proofErr w:type="spellEnd"/>
            <w:r w:rsidRPr="002F604F">
              <w:rPr>
                <w:rFonts w:ascii="Calibri" w:eastAsia="Times New Roman" w:hAnsi="Calibri" w:cs="Calibri"/>
                <w:i/>
                <w:iCs/>
                <w:kern w:val="0"/>
                <w:lang w:val="en-US" w:eastAsia="en-GB"/>
                <w14:ligatures w14:val="none"/>
              </w:rPr>
              <w:t xml:space="preserve"> </w:t>
            </w:r>
            <w:proofErr w:type="spellStart"/>
            <w:r w:rsidRPr="002F604F">
              <w:rPr>
                <w:rFonts w:ascii="Calibri" w:eastAsia="Times New Roman" w:hAnsi="Calibri" w:cs="Calibri"/>
                <w:i/>
                <w:iCs/>
                <w:kern w:val="0"/>
                <w:lang w:val="en-US" w:eastAsia="en-GB"/>
                <w14:ligatures w14:val="none"/>
              </w:rPr>
              <w:t>climático</w:t>
            </w:r>
            <w:proofErr w:type="spellEnd"/>
            <w:r w:rsidRPr="002F604F">
              <w:rPr>
                <w:rFonts w:ascii="Calibri" w:eastAsia="Times New Roman" w:hAnsi="Calibri" w:cs="Calibri"/>
                <w:i/>
                <w:iCs/>
                <w:kern w:val="0"/>
                <w:lang w:val="en-US" w:eastAsia="en-GB"/>
                <w14:ligatures w14:val="none"/>
              </w:rPr>
              <w:t xml:space="preserve"> y de la </w:t>
            </w:r>
            <w:proofErr w:type="spellStart"/>
            <w:r w:rsidRPr="002F604F">
              <w:rPr>
                <w:rFonts w:ascii="Calibri" w:eastAsia="Times New Roman" w:hAnsi="Calibri" w:cs="Calibri"/>
                <w:i/>
                <w:iCs/>
                <w:kern w:val="0"/>
                <w:lang w:val="en-US" w:eastAsia="en-GB"/>
                <w14:ligatures w14:val="none"/>
              </w:rPr>
              <w:t>naturaleza</w:t>
            </w:r>
            <w:proofErr w:type="spellEnd"/>
            <w:r w:rsidRPr="002F604F">
              <w:rPr>
                <w:rFonts w:ascii="Calibri" w:eastAsia="Times New Roman" w:hAnsi="Calibri" w:cs="Calibri"/>
                <w:i/>
                <w:iCs/>
                <w:kern w:val="0"/>
                <w:lang w:val="en-US" w:eastAsia="en-GB"/>
                <w14:ligatures w14:val="none"/>
              </w:rPr>
              <w:t xml:space="preserve">, </w:t>
            </w:r>
            <w:proofErr w:type="spellStart"/>
            <w:r w:rsidRPr="002F604F">
              <w:rPr>
                <w:rFonts w:ascii="Calibri" w:eastAsia="Times New Roman" w:hAnsi="Calibri" w:cs="Calibri"/>
                <w:i/>
                <w:iCs/>
                <w:kern w:val="0"/>
                <w:lang w:val="en-US" w:eastAsia="en-GB"/>
                <w14:ligatures w14:val="none"/>
              </w:rPr>
              <w:t>en</w:t>
            </w:r>
            <w:proofErr w:type="spellEnd"/>
            <w:r w:rsidRPr="002F604F">
              <w:rPr>
                <w:rFonts w:ascii="Calibri" w:eastAsia="Times New Roman" w:hAnsi="Calibri" w:cs="Calibri"/>
                <w:i/>
                <w:iCs/>
                <w:kern w:val="0"/>
                <w:lang w:val="en-US" w:eastAsia="en-GB"/>
                <w14:ligatures w14:val="none"/>
              </w:rPr>
              <w:t xml:space="preserve"> </w:t>
            </w:r>
            <w:proofErr w:type="spellStart"/>
            <w:r w:rsidRPr="002F604F">
              <w:rPr>
                <w:rFonts w:ascii="Calibri" w:eastAsia="Times New Roman" w:hAnsi="Calibri" w:cs="Calibri"/>
                <w:i/>
                <w:iCs/>
                <w:kern w:val="0"/>
                <w:lang w:val="en-US" w:eastAsia="en-GB"/>
                <w14:ligatures w14:val="none"/>
              </w:rPr>
              <w:t>el</w:t>
            </w:r>
            <w:proofErr w:type="spellEnd"/>
            <w:r w:rsidRPr="002F604F">
              <w:rPr>
                <w:rFonts w:ascii="Calibri" w:eastAsia="Times New Roman" w:hAnsi="Calibri" w:cs="Calibri"/>
                <w:i/>
                <w:iCs/>
                <w:kern w:val="0"/>
                <w:lang w:val="en-US" w:eastAsia="en-GB"/>
                <w14:ligatures w14:val="none"/>
              </w:rPr>
              <w:t xml:space="preserve"> </w:t>
            </w:r>
            <w:proofErr w:type="spellStart"/>
            <w:r w:rsidRPr="002F604F">
              <w:rPr>
                <w:rFonts w:ascii="Calibri" w:eastAsia="Times New Roman" w:hAnsi="Calibri" w:cs="Calibri"/>
                <w:i/>
                <w:iCs/>
                <w:kern w:val="0"/>
                <w:lang w:val="en-US" w:eastAsia="en-GB"/>
                <w14:ligatures w14:val="none"/>
              </w:rPr>
              <w:t>sistema</w:t>
            </w:r>
            <w:proofErr w:type="spellEnd"/>
            <w:r w:rsidRPr="002F604F">
              <w:rPr>
                <w:rFonts w:ascii="Calibri" w:eastAsia="Times New Roman" w:hAnsi="Calibri" w:cs="Calibri"/>
                <w:i/>
                <w:iCs/>
                <w:kern w:val="0"/>
                <w:lang w:val="en-US" w:eastAsia="en-GB"/>
                <w14:ligatures w14:val="none"/>
              </w:rPr>
              <w:t xml:space="preserve"> </w:t>
            </w:r>
            <w:proofErr w:type="spellStart"/>
            <w:r w:rsidRPr="002F604F">
              <w:rPr>
                <w:rFonts w:ascii="Calibri" w:eastAsia="Times New Roman" w:hAnsi="Calibri" w:cs="Calibri"/>
                <w:i/>
                <w:iCs/>
                <w:kern w:val="0"/>
                <w:lang w:val="en-US" w:eastAsia="en-GB"/>
                <w14:ligatures w14:val="none"/>
              </w:rPr>
              <w:t>financiero</w:t>
            </w:r>
            <w:proofErr w:type="spellEnd"/>
            <w:r w:rsidRPr="002F604F">
              <w:rPr>
                <w:rFonts w:ascii="Calibri" w:eastAsia="Times New Roman" w:hAnsi="Calibri" w:cs="Calibri"/>
                <w:kern w:val="0"/>
                <w:lang w:val="en-US" w:eastAsia="en-GB"/>
                <w14:ligatures w14:val="none"/>
              </w:rPr>
              <w:t>”). Furthermore, the “Tools for Measuring and Supervising Climate and Nature-Related Risks” (“</w:t>
            </w:r>
            <w:proofErr w:type="spellStart"/>
            <w:r w:rsidRPr="002F604F">
              <w:rPr>
                <w:rFonts w:ascii="Calibri" w:eastAsia="Times New Roman" w:hAnsi="Calibri" w:cs="Calibri"/>
                <w:i/>
                <w:iCs/>
                <w:kern w:val="0"/>
                <w:lang w:val="en-US" w:eastAsia="en-GB"/>
                <w14:ligatures w14:val="none"/>
              </w:rPr>
              <w:t>Herramientas</w:t>
            </w:r>
            <w:proofErr w:type="spellEnd"/>
            <w:r w:rsidRPr="002F604F">
              <w:rPr>
                <w:rFonts w:ascii="Calibri" w:eastAsia="Times New Roman" w:hAnsi="Calibri" w:cs="Calibri"/>
                <w:i/>
                <w:iCs/>
                <w:kern w:val="0"/>
                <w:lang w:val="en-US" w:eastAsia="en-GB"/>
                <w14:ligatures w14:val="none"/>
              </w:rPr>
              <w:t xml:space="preserve"> de </w:t>
            </w:r>
            <w:proofErr w:type="spellStart"/>
            <w:r w:rsidRPr="002F604F">
              <w:rPr>
                <w:rFonts w:ascii="Calibri" w:eastAsia="Times New Roman" w:hAnsi="Calibri" w:cs="Calibri"/>
                <w:i/>
                <w:iCs/>
                <w:kern w:val="0"/>
                <w:lang w:val="en-US" w:eastAsia="en-GB"/>
                <w14:ligatures w14:val="none"/>
              </w:rPr>
              <w:t>medición</w:t>
            </w:r>
            <w:proofErr w:type="spellEnd"/>
            <w:r w:rsidRPr="002F604F">
              <w:rPr>
                <w:rFonts w:ascii="Calibri" w:eastAsia="Times New Roman" w:hAnsi="Calibri" w:cs="Calibri"/>
                <w:i/>
                <w:iCs/>
                <w:kern w:val="0"/>
                <w:lang w:val="en-US" w:eastAsia="en-GB"/>
                <w14:ligatures w14:val="none"/>
              </w:rPr>
              <w:t xml:space="preserve"> y </w:t>
            </w:r>
            <w:proofErr w:type="spellStart"/>
            <w:r w:rsidRPr="002F604F">
              <w:rPr>
                <w:rFonts w:ascii="Calibri" w:eastAsia="Times New Roman" w:hAnsi="Calibri" w:cs="Calibri"/>
                <w:i/>
                <w:iCs/>
                <w:kern w:val="0"/>
                <w:lang w:val="en-US" w:eastAsia="en-GB"/>
                <w14:ligatures w14:val="none"/>
              </w:rPr>
              <w:t>supervisión</w:t>
            </w:r>
            <w:proofErr w:type="spellEnd"/>
            <w:r w:rsidRPr="002F604F">
              <w:rPr>
                <w:rFonts w:ascii="Calibri" w:eastAsia="Times New Roman" w:hAnsi="Calibri" w:cs="Calibri"/>
                <w:i/>
                <w:iCs/>
                <w:kern w:val="0"/>
                <w:lang w:val="en-US" w:eastAsia="en-GB"/>
                <w14:ligatures w14:val="none"/>
              </w:rPr>
              <w:t xml:space="preserve"> de </w:t>
            </w:r>
            <w:proofErr w:type="spellStart"/>
            <w:r w:rsidRPr="002F604F">
              <w:rPr>
                <w:rFonts w:ascii="Calibri" w:eastAsia="Times New Roman" w:hAnsi="Calibri" w:cs="Calibri"/>
                <w:i/>
                <w:iCs/>
                <w:kern w:val="0"/>
                <w:lang w:val="en-US" w:eastAsia="en-GB"/>
                <w14:ligatures w14:val="none"/>
              </w:rPr>
              <w:t>riesgos</w:t>
            </w:r>
            <w:proofErr w:type="spellEnd"/>
            <w:r w:rsidRPr="002F604F">
              <w:rPr>
                <w:rFonts w:ascii="Calibri" w:eastAsia="Times New Roman" w:hAnsi="Calibri" w:cs="Calibri"/>
                <w:i/>
                <w:iCs/>
                <w:kern w:val="0"/>
                <w:lang w:val="en-US" w:eastAsia="en-GB"/>
                <w14:ligatures w14:val="none"/>
              </w:rPr>
              <w:t xml:space="preserve"> </w:t>
            </w:r>
            <w:proofErr w:type="spellStart"/>
            <w:r w:rsidRPr="002F604F">
              <w:rPr>
                <w:rFonts w:ascii="Calibri" w:eastAsia="Times New Roman" w:hAnsi="Calibri" w:cs="Calibri"/>
                <w:i/>
                <w:iCs/>
                <w:kern w:val="0"/>
                <w:lang w:val="en-US" w:eastAsia="en-GB"/>
                <w14:ligatures w14:val="none"/>
              </w:rPr>
              <w:t>climáticos</w:t>
            </w:r>
            <w:proofErr w:type="spellEnd"/>
            <w:r w:rsidRPr="002F604F">
              <w:rPr>
                <w:rFonts w:ascii="Calibri" w:eastAsia="Times New Roman" w:hAnsi="Calibri" w:cs="Calibri"/>
                <w:i/>
                <w:iCs/>
                <w:kern w:val="0"/>
                <w:lang w:val="en-US" w:eastAsia="en-GB"/>
                <w14:ligatures w14:val="none"/>
              </w:rPr>
              <w:t xml:space="preserve"> y de la </w:t>
            </w:r>
            <w:proofErr w:type="spellStart"/>
            <w:r w:rsidRPr="002F604F">
              <w:rPr>
                <w:rFonts w:ascii="Calibri" w:eastAsia="Times New Roman" w:hAnsi="Calibri" w:cs="Calibri"/>
                <w:i/>
                <w:iCs/>
                <w:kern w:val="0"/>
                <w:lang w:val="en-US" w:eastAsia="en-GB"/>
                <w14:ligatures w14:val="none"/>
              </w:rPr>
              <w:t>naturaleza</w:t>
            </w:r>
            <w:proofErr w:type="spellEnd"/>
            <w:r w:rsidRPr="002F604F">
              <w:rPr>
                <w:rFonts w:ascii="Calibri" w:eastAsia="Times New Roman" w:hAnsi="Calibri" w:cs="Calibri"/>
                <w:kern w:val="0"/>
                <w:lang w:val="en-US" w:eastAsia="en-GB"/>
                <w14:ligatures w14:val="none"/>
              </w:rPr>
              <w:t>”) section mandates the use of scenario analysis and stress testing to quantify the potential financial impacts of climate risks on the stability and solvency of supervised entities. These requirements are reinforced by supervisory expectations and technical guidelines, ensuring that targeted entities systematically identify, assess, and disclose their exposures to climate-related financial risks, thereby enhancing the resilience of the Colombian financial system.</w:t>
            </w:r>
          </w:p>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630CEF35" w:rsidR="008C4722" w:rsidRPr="00CF2E7C" w:rsidRDefault="009462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0241AE6E" w:rsidR="008C4722" w:rsidRPr="00CF2E7C" w:rsidRDefault="009462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2CCD7433" w:rsidR="008C4722" w:rsidRPr="00CF2E7C" w:rsidRDefault="009462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DCCBB6" w14:textId="77777777" w:rsidR="00766C48" w:rsidRDefault="002F604F" w:rsidP="00766C48">
            <w:pPr>
              <w:jc w:val="both"/>
              <w:textAlignment w:val="baseline"/>
              <w:rPr>
                <w:rFonts w:ascii="Calibri" w:eastAsia="Times New Roman" w:hAnsi="Calibri" w:cs="Calibri"/>
                <w:kern w:val="0"/>
                <w:lang w:val="en-US" w:eastAsia="en-GB"/>
                <w14:ligatures w14:val="none"/>
              </w:rPr>
            </w:pPr>
            <w:r w:rsidRPr="002F604F">
              <w:rPr>
                <w:rFonts w:ascii="Calibri" w:eastAsia="Times New Roman" w:hAnsi="Calibri" w:cs="Calibri"/>
                <w:kern w:val="0"/>
                <w:lang w:eastAsia="en-GB"/>
                <w14:ligatures w14:val="none"/>
              </w:rPr>
              <w:t>The policy tool explicitly references the Basel capital regulatory framework in the section “Financial Regulation and Supervision of Financial Risks Derived from Climate Change and the Loss of Biodiversity and Natural Capital” (“</w:t>
            </w:r>
            <w:r w:rsidRPr="002F604F">
              <w:rPr>
                <w:rFonts w:ascii="Calibri" w:eastAsia="Times New Roman" w:hAnsi="Calibri" w:cs="Calibri"/>
                <w:i/>
                <w:iCs/>
                <w:kern w:val="0"/>
                <w:lang w:eastAsia="en-GB"/>
                <w14:ligatures w14:val="none"/>
              </w:rPr>
              <w:t xml:space="preserve">La </w:t>
            </w:r>
            <w:proofErr w:type="spellStart"/>
            <w:r w:rsidRPr="002F604F">
              <w:rPr>
                <w:rFonts w:ascii="Calibri" w:eastAsia="Times New Roman" w:hAnsi="Calibri" w:cs="Calibri"/>
                <w:i/>
                <w:iCs/>
                <w:kern w:val="0"/>
                <w:lang w:eastAsia="en-GB"/>
                <w14:ligatures w14:val="none"/>
              </w:rPr>
              <w:t>regulación</w:t>
            </w:r>
            <w:proofErr w:type="spellEnd"/>
            <w:r w:rsidRPr="002F604F">
              <w:rPr>
                <w:rFonts w:ascii="Calibri" w:eastAsia="Times New Roman" w:hAnsi="Calibri" w:cs="Calibri"/>
                <w:i/>
                <w:iCs/>
                <w:kern w:val="0"/>
                <w:lang w:eastAsia="en-GB"/>
                <w14:ligatures w14:val="none"/>
              </w:rPr>
              <w:t xml:space="preserve"> y </w:t>
            </w:r>
            <w:proofErr w:type="spellStart"/>
            <w:r w:rsidRPr="002F604F">
              <w:rPr>
                <w:rFonts w:ascii="Calibri" w:eastAsia="Times New Roman" w:hAnsi="Calibri" w:cs="Calibri"/>
                <w:i/>
                <w:iCs/>
                <w:kern w:val="0"/>
                <w:lang w:eastAsia="en-GB"/>
                <w14:ligatures w14:val="none"/>
              </w:rPr>
              <w:t>supervisión</w:t>
            </w:r>
            <w:proofErr w:type="spellEnd"/>
            <w:r w:rsidRPr="002F604F">
              <w:rPr>
                <w:rFonts w:ascii="Calibri" w:eastAsia="Times New Roman" w:hAnsi="Calibri" w:cs="Calibri"/>
                <w:i/>
                <w:iCs/>
                <w:kern w:val="0"/>
                <w:lang w:eastAsia="en-GB"/>
                <w14:ligatures w14:val="none"/>
              </w:rPr>
              <w:t xml:space="preserve"> </w:t>
            </w:r>
            <w:proofErr w:type="spellStart"/>
            <w:r w:rsidRPr="002F604F">
              <w:rPr>
                <w:rFonts w:ascii="Calibri" w:eastAsia="Times New Roman" w:hAnsi="Calibri" w:cs="Calibri"/>
                <w:i/>
                <w:iCs/>
                <w:kern w:val="0"/>
                <w:lang w:eastAsia="en-GB"/>
                <w14:ligatures w14:val="none"/>
              </w:rPr>
              <w:t>financiera</w:t>
            </w:r>
            <w:proofErr w:type="spellEnd"/>
            <w:r w:rsidRPr="002F604F">
              <w:rPr>
                <w:rFonts w:ascii="Calibri" w:eastAsia="Times New Roman" w:hAnsi="Calibri" w:cs="Calibri"/>
                <w:i/>
                <w:iCs/>
                <w:kern w:val="0"/>
                <w:lang w:eastAsia="en-GB"/>
                <w14:ligatures w14:val="none"/>
              </w:rPr>
              <w:t xml:space="preserve"> de </w:t>
            </w:r>
            <w:proofErr w:type="spellStart"/>
            <w:r w:rsidRPr="002F604F">
              <w:rPr>
                <w:rFonts w:ascii="Calibri" w:eastAsia="Times New Roman" w:hAnsi="Calibri" w:cs="Calibri"/>
                <w:i/>
                <w:iCs/>
                <w:kern w:val="0"/>
                <w:lang w:eastAsia="en-GB"/>
                <w14:ligatures w14:val="none"/>
              </w:rPr>
              <w:t>los</w:t>
            </w:r>
            <w:proofErr w:type="spellEnd"/>
            <w:r w:rsidRPr="002F604F">
              <w:rPr>
                <w:rFonts w:ascii="Calibri" w:eastAsia="Times New Roman" w:hAnsi="Calibri" w:cs="Calibri"/>
                <w:i/>
                <w:iCs/>
                <w:kern w:val="0"/>
                <w:lang w:eastAsia="en-GB"/>
                <w14:ligatures w14:val="none"/>
              </w:rPr>
              <w:t xml:space="preserve"> </w:t>
            </w:r>
            <w:proofErr w:type="spellStart"/>
            <w:r w:rsidRPr="002F604F">
              <w:rPr>
                <w:rFonts w:ascii="Calibri" w:eastAsia="Times New Roman" w:hAnsi="Calibri" w:cs="Calibri"/>
                <w:i/>
                <w:iCs/>
                <w:kern w:val="0"/>
                <w:lang w:eastAsia="en-GB"/>
                <w14:ligatures w14:val="none"/>
              </w:rPr>
              <w:t>riesgos</w:t>
            </w:r>
            <w:proofErr w:type="spellEnd"/>
            <w:r w:rsidRPr="002F604F">
              <w:rPr>
                <w:rFonts w:ascii="Calibri" w:eastAsia="Times New Roman" w:hAnsi="Calibri" w:cs="Calibri"/>
                <w:i/>
                <w:iCs/>
                <w:kern w:val="0"/>
                <w:lang w:eastAsia="en-GB"/>
                <w14:ligatures w14:val="none"/>
              </w:rPr>
              <w:t xml:space="preserve"> </w:t>
            </w:r>
            <w:proofErr w:type="spellStart"/>
            <w:r w:rsidRPr="002F604F">
              <w:rPr>
                <w:rFonts w:ascii="Calibri" w:eastAsia="Times New Roman" w:hAnsi="Calibri" w:cs="Calibri"/>
                <w:i/>
                <w:iCs/>
                <w:kern w:val="0"/>
                <w:lang w:eastAsia="en-GB"/>
                <w14:ligatures w14:val="none"/>
              </w:rPr>
              <w:t>financieros</w:t>
            </w:r>
            <w:proofErr w:type="spellEnd"/>
            <w:r w:rsidRPr="002F604F">
              <w:rPr>
                <w:rFonts w:ascii="Calibri" w:eastAsia="Times New Roman" w:hAnsi="Calibri" w:cs="Calibri"/>
                <w:i/>
                <w:iCs/>
                <w:kern w:val="0"/>
                <w:lang w:eastAsia="en-GB"/>
                <w14:ligatures w14:val="none"/>
              </w:rPr>
              <w:t xml:space="preserve"> </w:t>
            </w:r>
            <w:proofErr w:type="spellStart"/>
            <w:r w:rsidRPr="002F604F">
              <w:rPr>
                <w:rFonts w:ascii="Calibri" w:eastAsia="Times New Roman" w:hAnsi="Calibri" w:cs="Calibri"/>
                <w:i/>
                <w:iCs/>
                <w:kern w:val="0"/>
                <w:lang w:eastAsia="en-GB"/>
                <w14:ligatures w14:val="none"/>
              </w:rPr>
              <w:t>derivados</w:t>
            </w:r>
            <w:proofErr w:type="spellEnd"/>
            <w:r w:rsidRPr="002F604F">
              <w:rPr>
                <w:rFonts w:ascii="Calibri" w:eastAsia="Times New Roman" w:hAnsi="Calibri" w:cs="Calibri"/>
                <w:i/>
                <w:iCs/>
                <w:kern w:val="0"/>
                <w:lang w:eastAsia="en-GB"/>
                <w14:ligatures w14:val="none"/>
              </w:rPr>
              <w:t xml:space="preserve"> del </w:t>
            </w:r>
            <w:proofErr w:type="spellStart"/>
            <w:r w:rsidRPr="002F604F">
              <w:rPr>
                <w:rFonts w:ascii="Calibri" w:eastAsia="Times New Roman" w:hAnsi="Calibri" w:cs="Calibri"/>
                <w:i/>
                <w:iCs/>
                <w:kern w:val="0"/>
                <w:lang w:eastAsia="en-GB"/>
                <w14:ligatures w14:val="none"/>
              </w:rPr>
              <w:t>cambio</w:t>
            </w:r>
            <w:proofErr w:type="spellEnd"/>
            <w:r w:rsidRPr="002F604F">
              <w:rPr>
                <w:rFonts w:ascii="Calibri" w:eastAsia="Times New Roman" w:hAnsi="Calibri" w:cs="Calibri"/>
                <w:i/>
                <w:iCs/>
                <w:kern w:val="0"/>
                <w:lang w:eastAsia="en-GB"/>
                <w14:ligatures w14:val="none"/>
              </w:rPr>
              <w:t xml:space="preserve"> </w:t>
            </w:r>
            <w:proofErr w:type="spellStart"/>
            <w:r w:rsidRPr="002F604F">
              <w:rPr>
                <w:rFonts w:ascii="Calibri" w:eastAsia="Times New Roman" w:hAnsi="Calibri" w:cs="Calibri"/>
                <w:i/>
                <w:iCs/>
                <w:kern w:val="0"/>
                <w:lang w:eastAsia="en-GB"/>
                <w14:ligatures w14:val="none"/>
              </w:rPr>
              <w:t>climático</w:t>
            </w:r>
            <w:proofErr w:type="spellEnd"/>
            <w:r w:rsidRPr="002F604F">
              <w:rPr>
                <w:rFonts w:ascii="Calibri" w:eastAsia="Times New Roman" w:hAnsi="Calibri" w:cs="Calibri"/>
                <w:i/>
                <w:iCs/>
                <w:kern w:val="0"/>
                <w:lang w:eastAsia="en-GB"/>
                <w14:ligatures w14:val="none"/>
              </w:rPr>
              <w:t xml:space="preserve"> y de la </w:t>
            </w:r>
            <w:proofErr w:type="spellStart"/>
            <w:r w:rsidRPr="002F604F">
              <w:rPr>
                <w:rFonts w:ascii="Calibri" w:eastAsia="Times New Roman" w:hAnsi="Calibri" w:cs="Calibri"/>
                <w:i/>
                <w:iCs/>
                <w:kern w:val="0"/>
                <w:lang w:eastAsia="en-GB"/>
                <w14:ligatures w14:val="none"/>
              </w:rPr>
              <w:t>pérdida</w:t>
            </w:r>
            <w:proofErr w:type="spellEnd"/>
            <w:r w:rsidRPr="002F604F">
              <w:rPr>
                <w:rFonts w:ascii="Calibri" w:eastAsia="Times New Roman" w:hAnsi="Calibri" w:cs="Calibri"/>
                <w:i/>
                <w:iCs/>
                <w:kern w:val="0"/>
                <w:lang w:eastAsia="en-GB"/>
                <w14:ligatures w14:val="none"/>
              </w:rPr>
              <w:t xml:space="preserve"> de la </w:t>
            </w:r>
            <w:proofErr w:type="spellStart"/>
            <w:r w:rsidRPr="002F604F">
              <w:rPr>
                <w:rFonts w:ascii="Calibri" w:eastAsia="Times New Roman" w:hAnsi="Calibri" w:cs="Calibri"/>
                <w:i/>
                <w:iCs/>
                <w:kern w:val="0"/>
                <w:lang w:eastAsia="en-GB"/>
                <w14:ligatures w14:val="none"/>
              </w:rPr>
              <w:t>biodiversidad</w:t>
            </w:r>
            <w:proofErr w:type="spellEnd"/>
            <w:r w:rsidRPr="002F604F">
              <w:rPr>
                <w:rFonts w:ascii="Calibri" w:eastAsia="Times New Roman" w:hAnsi="Calibri" w:cs="Calibri"/>
                <w:i/>
                <w:iCs/>
                <w:kern w:val="0"/>
                <w:lang w:eastAsia="en-GB"/>
                <w14:ligatures w14:val="none"/>
              </w:rPr>
              <w:t xml:space="preserve"> y del capital natural</w:t>
            </w:r>
            <w:r w:rsidRPr="002F604F">
              <w:rPr>
                <w:rFonts w:ascii="Calibri" w:eastAsia="Times New Roman" w:hAnsi="Calibri" w:cs="Calibri"/>
                <w:kern w:val="0"/>
                <w:lang w:eastAsia="en-GB"/>
                <w14:ligatures w14:val="none"/>
              </w:rPr>
              <w:t xml:space="preserve">”). </w:t>
            </w:r>
            <w:r w:rsidRPr="002F604F">
              <w:rPr>
                <w:rFonts w:ascii="Calibri" w:eastAsia="Times New Roman" w:hAnsi="Calibri" w:cs="Calibri"/>
                <w:kern w:val="0"/>
                <w:lang w:val="en-US" w:eastAsia="en-GB"/>
                <w14:ligatures w14:val="none"/>
              </w:rPr>
              <w:t xml:space="preserve">It highlights that climate-related risks are considered as factors that can affect traditional financial risks—such as credit, market, and liquidity risks—already addressed within the existing Basel framework. </w:t>
            </w:r>
          </w:p>
          <w:p w14:paraId="19BF3B0A" w14:textId="77777777" w:rsidR="00766C48" w:rsidRDefault="00766C48" w:rsidP="00766C48">
            <w:pPr>
              <w:jc w:val="both"/>
              <w:textAlignment w:val="baseline"/>
              <w:rPr>
                <w:rFonts w:ascii="Calibri" w:eastAsia="Times New Roman" w:hAnsi="Calibri" w:cs="Calibri"/>
                <w:kern w:val="0"/>
                <w:lang w:val="en-US" w:eastAsia="en-GB"/>
                <w14:ligatures w14:val="none"/>
              </w:rPr>
            </w:pPr>
          </w:p>
          <w:p w14:paraId="19A08324" w14:textId="2D7FC542" w:rsidR="008C4722" w:rsidRPr="002F604F" w:rsidRDefault="002F604F" w:rsidP="00766C48">
            <w:pPr>
              <w:jc w:val="both"/>
              <w:textAlignment w:val="baseline"/>
              <w:rPr>
                <w:rFonts w:ascii="Calibri" w:eastAsia="Times New Roman" w:hAnsi="Calibri" w:cs="Calibri"/>
                <w:kern w:val="0"/>
                <w:lang w:val="en-US" w:eastAsia="en-GB"/>
                <w14:ligatures w14:val="none"/>
              </w:rPr>
            </w:pPr>
            <w:r w:rsidRPr="002F604F">
              <w:rPr>
                <w:rFonts w:ascii="Calibri" w:eastAsia="Times New Roman" w:hAnsi="Calibri" w:cs="Calibri"/>
                <w:kern w:val="0"/>
                <w:lang w:val="en-US" w:eastAsia="en-GB"/>
                <w14:ligatures w14:val="none"/>
              </w:rPr>
              <w:t xml:space="preserve">The document discusses the recommendations of the Bank for International Settlements (BIS) regarding the use of Basel’s Pillar II and Pillar III instruments to address climate risks, noting that while current </w:t>
            </w:r>
            <w:proofErr w:type="spellStart"/>
            <w:r w:rsidRPr="002F604F">
              <w:rPr>
                <w:rFonts w:ascii="Calibri" w:eastAsia="Times New Roman" w:hAnsi="Calibri" w:cs="Calibri"/>
                <w:kern w:val="0"/>
                <w:lang w:val="en-US" w:eastAsia="en-GB"/>
                <w14:ligatures w14:val="none"/>
              </w:rPr>
              <w:t>microprudential</w:t>
            </w:r>
            <w:proofErr w:type="spellEnd"/>
            <w:r w:rsidRPr="002F604F">
              <w:rPr>
                <w:rFonts w:ascii="Calibri" w:eastAsia="Times New Roman" w:hAnsi="Calibri" w:cs="Calibri"/>
                <w:kern w:val="0"/>
                <w:lang w:val="en-US" w:eastAsia="en-GB"/>
                <w14:ligatures w14:val="none"/>
              </w:rPr>
              <w:t xml:space="preserve"> measures focus on short-term risk horizons, climate risks often materialize over longer periods and may not be fully captured by existing capital requirements. Therefore, the policy tool suggests that supervisors should promote scenario analysis and stress testing (Pillar II) and enhance market discipline through improved disclosure of climate-related financial impacts (Pillar III), rather than immediately adjusting capital requirements. This approach is detailed in the paragraph discussing the limitations of current regulatory frameworks and the BIS’s guidance on integrating climate risks into prudential supervision, ensuring alignment with international best practices while recognizing the unique challenges posed by climate-related risks.</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5BABAE6F" w:rsidR="007B7DEE" w:rsidRPr="00CF2E7C" w:rsidRDefault="00766C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9B11C3" w14:textId="77777777" w:rsidR="007B7DEE" w:rsidRDefault="00766C48" w:rsidP="00CF2E7C">
            <w:pPr>
              <w:textAlignment w:val="baseline"/>
              <w:rPr>
                <w:lang w:val="en-US"/>
              </w:rPr>
            </w:pPr>
            <w:r w:rsidRPr="002D3FB4">
              <w:rPr>
                <w:rFonts w:ascii="Calibri" w:hAnsi="Calibri" w:cs="Calibri"/>
              </w:rPr>
              <w:t xml:space="preserve">Colombian Green Taxonomy </w:t>
            </w:r>
            <w:r>
              <w:rPr>
                <w:rFonts w:ascii="Calibri" w:hAnsi="Calibri" w:cs="Calibri"/>
              </w:rPr>
              <w:t>(</w:t>
            </w:r>
            <w:r>
              <w:rPr>
                <w:lang w:val="en-US"/>
              </w:rPr>
              <w:t xml:space="preserve">available at the following </w:t>
            </w:r>
            <w:hyperlink r:id="rId22" w:history="1">
              <w:r w:rsidRPr="00124797">
                <w:rPr>
                  <w:rStyle w:val="Hyperlink"/>
                  <w:lang w:val="en-US"/>
                </w:rPr>
                <w:t>Web-archived link</w:t>
              </w:r>
            </w:hyperlink>
            <w:r>
              <w:rPr>
                <w:lang w:val="en-US"/>
              </w:rPr>
              <w:t xml:space="preserve">). </w:t>
            </w:r>
          </w:p>
          <w:p w14:paraId="53278079" w14:textId="445D81E3" w:rsidR="00766C48" w:rsidRDefault="00766C48" w:rsidP="00766C48">
            <w:pPr>
              <w:jc w:val="both"/>
              <w:textAlignment w:val="baseline"/>
              <w:rPr>
                <w:rFonts w:ascii="Calibri" w:eastAsia="Times New Roman" w:hAnsi="Calibri" w:cs="Calibri"/>
                <w:kern w:val="0"/>
                <w:lang w:eastAsia="en-GB"/>
                <w14:ligatures w14:val="none"/>
              </w:rPr>
            </w:pPr>
            <w:r w:rsidRPr="00766C48">
              <w:rPr>
                <w:rFonts w:ascii="Calibri" w:eastAsia="Times New Roman" w:hAnsi="Calibri" w:cs="Calibri"/>
                <w:kern w:val="0"/>
                <w:lang w:eastAsia="en-GB"/>
                <w14:ligatures w14:val="none"/>
              </w:rPr>
              <w:t>The policy tool makes explicit use of a green taxonomy to classify funds and assets directed towards environment-friendly or low-carbon activities. This is detailed in the section “Green Taxonomy of Colombia”</w:t>
            </w:r>
            <w:r>
              <w:rPr>
                <w:rFonts w:ascii="Calibri" w:eastAsia="Times New Roman" w:hAnsi="Calibri" w:cs="Calibri"/>
                <w:kern w:val="0"/>
                <w:lang w:eastAsia="en-GB"/>
                <w14:ligatures w14:val="none"/>
              </w:rPr>
              <w:t xml:space="preserve"> </w:t>
            </w:r>
            <w:r w:rsidRPr="00766C48">
              <w:rPr>
                <w:rFonts w:ascii="Calibri" w:eastAsia="Times New Roman" w:hAnsi="Calibri" w:cs="Calibri"/>
                <w:kern w:val="0"/>
                <w:lang w:eastAsia="en-GB"/>
                <w14:ligatures w14:val="none"/>
              </w:rPr>
              <w:t>(“</w:t>
            </w:r>
            <w:proofErr w:type="spellStart"/>
            <w:r w:rsidRPr="00766C48">
              <w:rPr>
                <w:rFonts w:ascii="Calibri" w:eastAsia="Times New Roman" w:hAnsi="Calibri" w:cs="Calibri"/>
                <w:i/>
                <w:iCs/>
                <w:kern w:val="0"/>
                <w:lang w:eastAsia="en-GB"/>
                <w14:ligatures w14:val="none"/>
              </w:rPr>
              <w:t>Taxonomía</w:t>
            </w:r>
            <w:proofErr w:type="spellEnd"/>
            <w:r w:rsidRPr="00766C48">
              <w:rPr>
                <w:rFonts w:ascii="Calibri" w:eastAsia="Times New Roman" w:hAnsi="Calibri" w:cs="Calibri"/>
                <w:i/>
                <w:iCs/>
                <w:kern w:val="0"/>
                <w:lang w:eastAsia="en-GB"/>
                <w14:ligatures w14:val="none"/>
              </w:rPr>
              <w:t xml:space="preserve"> Verde de Colombia</w:t>
            </w:r>
            <w:r w:rsidRPr="00766C48">
              <w:rPr>
                <w:rFonts w:ascii="Calibri" w:eastAsia="Times New Roman" w:hAnsi="Calibri" w:cs="Calibri"/>
                <w:kern w:val="0"/>
                <w:lang w:eastAsia="en-GB"/>
                <w14:ligatures w14:val="none"/>
              </w:rPr>
              <w:t xml:space="preserve">”), which describes the development and implementation of Colombia’s own Green Taxonomy as a classification system for economic activities and assets that make substantial contributions to the country’s environmental objectives, such as climate change mitigation, adaptation, ecosystem and biodiversity conservation, water and soil management, circular economy, and pollution prevention. The taxonomy is designed to provide clarity on what is considered “green” or environmentally sustainable in Colombia, supporting both public and private sector actors—including financial institutions, investors, and issuers—in identifying and evaluating green projects and assets. The policy tool mandates the use of this taxonomy for the identification, measurement, and disclosure of green financial products, and it is referenced in regulatory instruments such as </w:t>
            </w:r>
            <w:r>
              <w:rPr>
                <w:rFonts w:ascii="Calibri" w:eastAsia="Times New Roman" w:hAnsi="Calibri" w:cs="Calibri"/>
                <w:kern w:val="0"/>
                <w:lang w:eastAsia="en-GB"/>
                <w14:ligatures w14:val="none"/>
              </w:rPr>
              <w:t>(</w:t>
            </w:r>
            <w:r w:rsidRPr="00766C48">
              <w:rPr>
                <w:rFonts w:ascii="Calibri" w:eastAsia="Times New Roman" w:hAnsi="Calibri" w:cs="Calibri"/>
                <w:kern w:val="0"/>
                <w:lang w:eastAsia="en-GB"/>
                <w14:ligatures w14:val="none"/>
              </w:rPr>
              <w:t>External Circular 05 of 2022</w:t>
            </w:r>
            <w:r>
              <w:rPr>
                <w:rFonts w:ascii="Calibri" w:eastAsia="Times New Roman" w:hAnsi="Calibri" w:cs="Calibri"/>
                <w:kern w:val="0"/>
                <w:lang w:eastAsia="en-GB"/>
                <w14:ligatures w14:val="none"/>
              </w:rPr>
              <w:t>)</w:t>
            </w:r>
            <w:r w:rsidRPr="00766C48">
              <w:rPr>
                <w:rFonts w:ascii="Calibri" w:eastAsia="Times New Roman" w:hAnsi="Calibri" w:cs="Calibri"/>
                <w:kern w:val="0"/>
                <w:lang w:eastAsia="en-GB"/>
                <w14:ligatures w14:val="none"/>
              </w:rPr>
              <w:t xml:space="preserve">. </w:t>
            </w:r>
          </w:p>
          <w:p w14:paraId="42397B76" w14:textId="2D788922" w:rsidR="00766C48" w:rsidRPr="00CF2E7C" w:rsidRDefault="00766C48" w:rsidP="00766C48">
            <w:pPr>
              <w:jc w:val="both"/>
              <w:textAlignment w:val="baseline"/>
              <w:rPr>
                <w:rFonts w:ascii="Calibri" w:eastAsia="Times New Roman" w:hAnsi="Calibri" w:cs="Calibri"/>
                <w:kern w:val="0"/>
                <w:lang w:eastAsia="en-GB"/>
                <w14:ligatures w14:val="none"/>
              </w:rPr>
            </w:pPr>
            <w:r w:rsidRPr="00766C48">
              <w:rPr>
                <w:rFonts w:ascii="Calibri" w:eastAsia="Times New Roman" w:hAnsi="Calibri" w:cs="Calibri"/>
                <w:kern w:val="0"/>
                <w:lang w:eastAsia="en-GB"/>
                <w14:ligatures w14:val="none"/>
              </w:rPr>
              <w:t>The taxonomy is also used to differentiate green financial instruments from others, facilitate the alignment of portfolios with national environmental goals, and promote the development of green capital markets, as described in the subsections outlining the taxonomy’s architecture, objectives, and implementation roadmap.</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524CB60F" w:rsidR="00ED7E12" w:rsidRPr="00CF2E7C" w:rsidRDefault="00766C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63F13A0F" w:rsidR="00ED7E12" w:rsidRPr="00CF2E7C" w:rsidRDefault="00766C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94EE72" w14:textId="77777777" w:rsidR="00766C48" w:rsidRDefault="00766C48" w:rsidP="00766C48">
            <w:pPr>
              <w:textAlignment w:val="baseline"/>
              <w:rPr>
                <w:rFonts w:ascii="Calibri" w:eastAsia="Times New Roman" w:hAnsi="Calibri" w:cs="Calibri"/>
                <w:kern w:val="0"/>
                <w:lang w:val="en-US" w:eastAsia="en-GB"/>
                <w14:ligatures w14:val="none"/>
              </w:rPr>
            </w:pPr>
            <w:r w:rsidRPr="00766C48">
              <w:rPr>
                <w:rFonts w:ascii="Calibri" w:eastAsia="Times New Roman" w:hAnsi="Calibri" w:cs="Calibri"/>
                <w:kern w:val="0"/>
                <w:lang w:val="en-US" w:eastAsia="en-GB"/>
                <w14:ligatures w14:val="none"/>
              </w:rPr>
              <w:t xml:space="preserve">The policy tool establishes mechanisms for monitoring and verifying compliance with obligations imposed on regulated entities through a combination of supervisory expectations, disclosure requirements, and the integration of sustainability factors into the supervisory framework. This is detailed in the section “Incorporation of ESG, including climate and nature-related issues, in the financial system” (“Incorporación de </w:t>
            </w:r>
            <w:proofErr w:type="spellStart"/>
            <w:r w:rsidRPr="00766C48">
              <w:rPr>
                <w:rFonts w:ascii="Calibri" w:eastAsia="Times New Roman" w:hAnsi="Calibri" w:cs="Calibri"/>
                <w:kern w:val="0"/>
                <w:lang w:val="en-US" w:eastAsia="en-GB"/>
                <w14:ligatures w14:val="none"/>
              </w:rPr>
              <w:t>los</w:t>
            </w:r>
            <w:proofErr w:type="spellEnd"/>
            <w:r w:rsidRPr="00766C48">
              <w:rPr>
                <w:rFonts w:ascii="Calibri" w:eastAsia="Times New Roman" w:hAnsi="Calibri" w:cs="Calibri"/>
                <w:kern w:val="0"/>
                <w:lang w:val="en-US" w:eastAsia="en-GB"/>
                <w14:ligatures w14:val="none"/>
              </w:rPr>
              <w:t xml:space="preserve"> </w:t>
            </w:r>
            <w:proofErr w:type="spellStart"/>
            <w:r w:rsidRPr="00766C48">
              <w:rPr>
                <w:rFonts w:ascii="Calibri" w:eastAsia="Times New Roman" w:hAnsi="Calibri" w:cs="Calibri"/>
                <w:kern w:val="0"/>
                <w:lang w:val="en-US" w:eastAsia="en-GB"/>
                <w14:ligatures w14:val="none"/>
              </w:rPr>
              <w:t>asuntos</w:t>
            </w:r>
            <w:proofErr w:type="spellEnd"/>
            <w:r w:rsidRPr="00766C48">
              <w:rPr>
                <w:rFonts w:ascii="Calibri" w:eastAsia="Times New Roman" w:hAnsi="Calibri" w:cs="Calibri"/>
                <w:kern w:val="0"/>
                <w:lang w:val="en-US" w:eastAsia="en-GB"/>
                <w14:ligatures w14:val="none"/>
              </w:rPr>
              <w:t xml:space="preserve"> ASG, </w:t>
            </w:r>
            <w:proofErr w:type="spellStart"/>
            <w:r w:rsidRPr="00766C48">
              <w:rPr>
                <w:rFonts w:ascii="Calibri" w:eastAsia="Times New Roman" w:hAnsi="Calibri" w:cs="Calibri"/>
                <w:kern w:val="0"/>
                <w:lang w:val="en-US" w:eastAsia="en-GB"/>
                <w14:ligatures w14:val="none"/>
              </w:rPr>
              <w:t>incluido</w:t>
            </w:r>
            <w:proofErr w:type="spellEnd"/>
            <w:r w:rsidRPr="00766C48">
              <w:rPr>
                <w:rFonts w:ascii="Calibri" w:eastAsia="Times New Roman" w:hAnsi="Calibri" w:cs="Calibri"/>
                <w:kern w:val="0"/>
                <w:lang w:val="en-US" w:eastAsia="en-GB"/>
                <w14:ligatures w14:val="none"/>
              </w:rPr>
              <w:t xml:space="preserve"> </w:t>
            </w:r>
            <w:proofErr w:type="spellStart"/>
            <w:r w:rsidRPr="00766C48">
              <w:rPr>
                <w:rFonts w:ascii="Calibri" w:eastAsia="Times New Roman" w:hAnsi="Calibri" w:cs="Calibri"/>
                <w:kern w:val="0"/>
                <w:lang w:val="en-US" w:eastAsia="en-GB"/>
                <w14:ligatures w14:val="none"/>
              </w:rPr>
              <w:t>el</w:t>
            </w:r>
            <w:proofErr w:type="spellEnd"/>
            <w:r w:rsidRPr="00766C48">
              <w:rPr>
                <w:rFonts w:ascii="Calibri" w:eastAsia="Times New Roman" w:hAnsi="Calibri" w:cs="Calibri"/>
                <w:kern w:val="0"/>
                <w:lang w:val="en-US" w:eastAsia="en-GB"/>
                <w14:ligatures w14:val="none"/>
              </w:rPr>
              <w:t xml:space="preserve"> </w:t>
            </w:r>
            <w:proofErr w:type="spellStart"/>
            <w:r w:rsidRPr="00766C48">
              <w:rPr>
                <w:rFonts w:ascii="Calibri" w:eastAsia="Times New Roman" w:hAnsi="Calibri" w:cs="Calibri"/>
                <w:kern w:val="0"/>
                <w:lang w:val="en-US" w:eastAsia="en-GB"/>
                <w14:ligatures w14:val="none"/>
              </w:rPr>
              <w:t>climático</w:t>
            </w:r>
            <w:proofErr w:type="spellEnd"/>
            <w:r w:rsidRPr="00766C48">
              <w:rPr>
                <w:rFonts w:ascii="Calibri" w:eastAsia="Times New Roman" w:hAnsi="Calibri" w:cs="Calibri"/>
                <w:kern w:val="0"/>
                <w:lang w:val="en-US" w:eastAsia="en-GB"/>
                <w14:ligatures w14:val="none"/>
              </w:rPr>
              <w:t xml:space="preserve"> y de la </w:t>
            </w:r>
            <w:proofErr w:type="spellStart"/>
            <w:r w:rsidRPr="00766C48">
              <w:rPr>
                <w:rFonts w:ascii="Calibri" w:eastAsia="Times New Roman" w:hAnsi="Calibri" w:cs="Calibri"/>
                <w:kern w:val="0"/>
                <w:lang w:val="en-US" w:eastAsia="en-GB"/>
                <w14:ligatures w14:val="none"/>
              </w:rPr>
              <w:t>naturaleza</w:t>
            </w:r>
            <w:proofErr w:type="spellEnd"/>
            <w:r w:rsidRPr="00766C48">
              <w:rPr>
                <w:rFonts w:ascii="Calibri" w:eastAsia="Times New Roman" w:hAnsi="Calibri" w:cs="Calibri"/>
                <w:kern w:val="0"/>
                <w:lang w:val="en-US" w:eastAsia="en-GB"/>
                <w14:ligatures w14:val="none"/>
              </w:rPr>
              <w:t xml:space="preserve">, </w:t>
            </w:r>
            <w:proofErr w:type="spellStart"/>
            <w:r w:rsidRPr="00766C48">
              <w:rPr>
                <w:rFonts w:ascii="Calibri" w:eastAsia="Times New Roman" w:hAnsi="Calibri" w:cs="Calibri"/>
                <w:kern w:val="0"/>
                <w:lang w:val="en-US" w:eastAsia="en-GB"/>
                <w14:ligatures w14:val="none"/>
              </w:rPr>
              <w:t>en</w:t>
            </w:r>
            <w:proofErr w:type="spellEnd"/>
            <w:r w:rsidRPr="00766C48">
              <w:rPr>
                <w:rFonts w:ascii="Calibri" w:eastAsia="Times New Roman" w:hAnsi="Calibri" w:cs="Calibri"/>
                <w:kern w:val="0"/>
                <w:lang w:val="en-US" w:eastAsia="en-GB"/>
                <w14:ligatures w14:val="none"/>
              </w:rPr>
              <w:t xml:space="preserve"> </w:t>
            </w:r>
            <w:proofErr w:type="spellStart"/>
            <w:r w:rsidRPr="00766C48">
              <w:rPr>
                <w:rFonts w:ascii="Calibri" w:eastAsia="Times New Roman" w:hAnsi="Calibri" w:cs="Calibri"/>
                <w:kern w:val="0"/>
                <w:lang w:val="en-US" w:eastAsia="en-GB"/>
                <w14:ligatures w14:val="none"/>
              </w:rPr>
              <w:t>el</w:t>
            </w:r>
            <w:proofErr w:type="spellEnd"/>
            <w:r w:rsidRPr="00766C48">
              <w:rPr>
                <w:rFonts w:ascii="Calibri" w:eastAsia="Times New Roman" w:hAnsi="Calibri" w:cs="Calibri"/>
                <w:kern w:val="0"/>
                <w:lang w:val="en-US" w:eastAsia="en-GB"/>
                <w14:ligatures w14:val="none"/>
              </w:rPr>
              <w:t xml:space="preserve"> </w:t>
            </w:r>
            <w:proofErr w:type="spellStart"/>
            <w:r w:rsidRPr="00766C48">
              <w:rPr>
                <w:rFonts w:ascii="Calibri" w:eastAsia="Times New Roman" w:hAnsi="Calibri" w:cs="Calibri"/>
                <w:kern w:val="0"/>
                <w:lang w:val="en-US" w:eastAsia="en-GB"/>
                <w14:ligatures w14:val="none"/>
              </w:rPr>
              <w:t>sistema</w:t>
            </w:r>
            <w:proofErr w:type="spellEnd"/>
            <w:r w:rsidRPr="00766C48">
              <w:rPr>
                <w:rFonts w:ascii="Calibri" w:eastAsia="Times New Roman" w:hAnsi="Calibri" w:cs="Calibri"/>
                <w:kern w:val="0"/>
                <w:lang w:val="en-US" w:eastAsia="en-GB"/>
                <w14:ligatures w14:val="none"/>
              </w:rPr>
              <w:t xml:space="preserve"> </w:t>
            </w:r>
            <w:proofErr w:type="spellStart"/>
            <w:r w:rsidRPr="00766C48">
              <w:rPr>
                <w:rFonts w:ascii="Calibri" w:eastAsia="Times New Roman" w:hAnsi="Calibri" w:cs="Calibri"/>
                <w:kern w:val="0"/>
                <w:lang w:val="en-US" w:eastAsia="en-GB"/>
                <w14:ligatures w14:val="none"/>
              </w:rPr>
              <w:t>financiero</w:t>
            </w:r>
            <w:proofErr w:type="spellEnd"/>
            <w:r w:rsidRPr="00766C48">
              <w:rPr>
                <w:rFonts w:ascii="Calibri" w:eastAsia="Times New Roman" w:hAnsi="Calibri" w:cs="Calibri"/>
                <w:kern w:val="0"/>
                <w:lang w:val="en-US" w:eastAsia="en-GB"/>
                <w14:ligatures w14:val="none"/>
              </w:rPr>
              <w:t xml:space="preserve">”), where SFC outlines the publication of technical documents and supervisory guidelines that set out principles and expectations for the governance, strategy, risk management, scenario analysis, and disclosure of climate and environmental risks by supervised entities. The section further explains that these expectations are implemented through regulatory instruments such as External Circulars 007 and 008 of 2021 and External Circular 031 of 2021, which require entities to disclose how they integrate ESG and climate-related factors into their investment policies and risk management processes, and to report on their sustainability practices and the impact of these strategies on their portfolios. </w:t>
            </w:r>
          </w:p>
          <w:p w14:paraId="366A136B" w14:textId="0831CD12" w:rsidR="00766C48" w:rsidRPr="00766C48" w:rsidRDefault="00766C48" w:rsidP="00766C48">
            <w:pPr>
              <w:textAlignment w:val="baseline"/>
              <w:rPr>
                <w:rFonts w:ascii="Calibri" w:eastAsia="Times New Roman" w:hAnsi="Calibri" w:cs="Calibri"/>
                <w:kern w:val="0"/>
                <w:lang w:val="en-US" w:eastAsia="en-GB"/>
                <w14:ligatures w14:val="none"/>
              </w:rPr>
            </w:pPr>
            <w:r w:rsidRPr="00766C48">
              <w:rPr>
                <w:rFonts w:ascii="Calibri" w:eastAsia="Times New Roman" w:hAnsi="Calibri" w:cs="Calibri"/>
                <w:kern w:val="0"/>
                <w:lang w:val="en-US" w:eastAsia="en-GB"/>
                <w14:ligatures w14:val="none"/>
              </w:rPr>
              <w:t>Additionally, the section “Tools for measuring and supervising climate and nature-related risks” (“</w:t>
            </w:r>
            <w:proofErr w:type="spellStart"/>
            <w:r w:rsidRPr="00766C48">
              <w:rPr>
                <w:rFonts w:ascii="Calibri" w:eastAsia="Times New Roman" w:hAnsi="Calibri" w:cs="Calibri"/>
                <w:kern w:val="0"/>
                <w:lang w:val="en-US" w:eastAsia="en-GB"/>
                <w14:ligatures w14:val="none"/>
              </w:rPr>
              <w:t>Herramientas</w:t>
            </w:r>
            <w:proofErr w:type="spellEnd"/>
            <w:r w:rsidRPr="00766C48">
              <w:rPr>
                <w:rFonts w:ascii="Calibri" w:eastAsia="Times New Roman" w:hAnsi="Calibri" w:cs="Calibri"/>
                <w:kern w:val="0"/>
                <w:lang w:val="en-US" w:eastAsia="en-GB"/>
                <w14:ligatures w14:val="none"/>
              </w:rPr>
              <w:t xml:space="preserve"> de </w:t>
            </w:r>
            <w:proofErr w:type="spellStart"/>
            <w:r w:rsidRPr="00766C48">
              <w:rPr>
                <w:rFonts w:ascii="Calibri" w:eastAsia="Times New Roman" w:hAnsi="Calibri" w:cs="Calibri"/>
                <w:kern w:val="0"/>
                <w:lang w:val="en-US" w:eastAsia="en-GB"/>
                <w14:ligatures w14:val="none"/>
              </w:rPr>
              <w:t>medición</w:t>
            </w:r>
            <w:proofErr w:type="spellEnd"/>
            <w:r w:rsidRPr="00766C48">
              <w:rPr>
                <w:rFonts w:ascii="Calibri" w:eastAsia="Times New Roman" w:hAnsi="Calibri" w:cs="Calibri"/>
                <w:kern w:val="0"/>
                <w:lang w:val="en-US" w:eastAsia="en-GB"/>
                <w14:ligatures w14:val="none"/>
              </w:rPr>
              <w:t xml:space="preserve"> y </w:t>
            </w:r>
            <w:proofErr w:type="spellStart"/>
            <w:r w:rsidRPr="00766C48">
              <w:rPr>
                <w:rFonts w:ascii="Calibri" w:eastAsia="Times New Roman" w:hAnsi="Calibri" w:cs="Calibri"/>
                <w:kern w:val="0"/>
                <w:lang w:val="en-US" w:eastAsia="en-GB"/>
                <w14:ligatures w14:val="none"/>
              </w:rPr>
              <w:t>supervisión</w:t>
            </w:r>
            <w:proofErr w:type="spellEnd"/>
            <w:r w:rsidRPr="00766C48">
              <w:rPr>
                <w:rFonts w:ascii="Calibri" w:eastAsia="Times New Roman" w:hAnsi="Calibri" w:cs="Calibri"/>
                <w:kern w:val="0"/>
                <w:lang w:val="en-US" w:eastAsia="en-GB"/>
                <w14:ligatures w14:val="none"/>
              </w:rPr>
              <w:t xml:space="preserve"> de </w:t>
            </w:r>
            <w:proofErr w:type="spellStart"/>
            <w:r w:rsidRPr="00766C48">
              <w:rPr>
                <w:rFonts w:ascii="Calibri" w:eastAsia="Times New Roman" w:hAnsi="Calibri" w:cs="Calibri"/>
                <w:kern w:val="0"/>
                <w:lang w:val="en-US" w:eastAsia="en-GB"/>
                <w14:ligatures w14:val="none"/>
              </w:rPr>
              <w:t>riesgos</w:t>
            </w:r>
            <w:proofErr w:type="spellEnd"/>
            <w:r w:rsidRPr="00766C48">
              <w:rPr>
                <w:rFonts w:ascii="Calibri" w:eastAsia="Times New Roman" w:hAnsi="Calibri" w:cs="Calibri"/>
                <w:kern w:val="0"/>
                <w:lang w:val="en-US" w:eastAsia="en-GB"/>
                <w14:ligatures w14:val="none"/>
              </w:rPr>
              <w:t xml:space="preserve"> </w:t>
            </w:r>
            <w:proofErr w:type="spellStart"/>
            <w:r w:rsidRPr="00766C48">
              <w:rPr>
                <w:rFonts w:ascii="Calibri" w:eastAsia="Times New Roman" w:hAnsi="Calibri" w:cs="Calibri"/>
                <w:kern w:val="0"/>
                <w:lang w:val="en-US" w:eastAsia="en-GB"/>
                <w14:ligatures w14:val="none"/>
              </w:rPr>
              <w:t>climáticos</w:t>
            </w:r>
            <w:proofErr w:type="spellEnd"/>
            <w:r w:rsidRPr="00766C48">
              <w:rPr>
                <w:rFonts w:ascii="Calibri" w:eastAsia="Times New Roman" w:hAnsi="Calibri" w:cs="Calibri"/>
                <w:kern w:val="0"/>
                <w:lang w:val="en-US" w:eastAsia="en-GB"/>
                <w14:ligatures w14:val="none"/>
              </w:rPr>
              <w:t xml:space="preserve"> y de la </w:t>
            </w:r>
            <w:proofErr w:type="spellStart"/>
            <w:r w:rsidRPr="00766C48">
              <w:rPr>
                <w:rFonts w:ascii="Calibri" w:eastAsia="Times New Roman" w:hAnsi="Calibri" w:cs="Calibri"/>
                <w:kern w:val="0"/>
                <w:lang w:val="en-US" w:eastAsia="en-GB"/>
                <w14:ligatures w14:val="none"/>
              </w:rPr>
              <w:t>naturaleza</w:t>
            </w:r>
            <w:proofErr w:type="spellEnd"/>
            <w:r w:rsidRPr="00766C48">
              <w:rPr>
                <w:rFonts w:ascii="Calibri" w:eastAsia="Times New Roman" w:hAnsi="Calibri" w:cs="Calibri"/>
                <w:kern w:val="0"/>
                <w:lang w:val="en-US" w:eastAsia="en-GB"/>
                <w14:ligatures w14:val="none"/>
              </w:rPr>
              <w:t>”) describes the use of quantitative scenario analyses, stress tests, and the development of dashboards for ongoing monitoring of exposures and vulnerabilities. The SFC also commits to developing supervisory guides and integrating ESG and climate issues into its Comprehensive Supervisory Framework (</w:t>
            </w:r>
            <w:r w:rsidRPr="00766C48">
              <w:rPr>
                <w:rFonts w:ascii="Calibri" w:eastAsia="Times New Roman" w:hAnsi="Calibri" w:cs="Calibri"/>
                <w:i/>
                <w:iCs/>
                <w:kern w:val="0"/>
                <w:lang w:val="en-US" w:eastAsia="en-GB"/>
                <w14:ligatures w14:val="none"/>
              </w:rPr>
              <w:t xml:space="preserve">Marco Integral de </w:t>
            </w:r>
            <w:proofErr w:type="spellStart"/>
            <w:r w:rsidRPr="00766C48">
              <w:rPr>
                <w:rFonts w:ascii="Calibri" w:eastAsia="Times New Roman" w:hAnsi="Calibri" w:cs="Calibri"/>
                <w:i/>
                <w:iCs/>
                <w:kern w:val="0"/>
                <w:lang w:val="en-US" w:eastAsia="en-GB"/>
                <w14:ligatures w14:val="none"/>
              </w:rPr>
              <w:t>Supervisión</w:t>
            </w:r>
            <w:proofErr w:type="spellEnd"/>
            <w:r w:rsidRPr="00766C48">
              <w:rPr>
                <w:rFonts w:ascii="Calibri" w:eastAsia="Times New Roman" w:hAnsi="Calibri" w:cs="Calibri"/>
                <w:kern w:val="0"/>
                <w:lang w:val="en-US" w:eastAsia="en-GB"/>
                <w14:ligatures w14:val="none"/>
              </w:rPr>
              <w:t>), ensuring that compliance is systematically assessed and that entities are held accountable for meeting their sustainability-related obligations.</w:t>
            </w:r>
          </w:p>
          <w:p w14:paraId="42FF8A1B" w14:textId="763835C7" w:rsidR="00ED7E12" w:rsidRPr="00CF2E7C" w:rsidRDefault="00ED7E12" w:rsidP="00766C48">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07D15E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E4590">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3F2BA12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6902D0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66C48">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60864AF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1AF7327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66C48">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1856AF7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66C48">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5095DAE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66C48">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F2C6C8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664C97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E4590">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06B5000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86B58">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07442391" w:rsidR="00C82860" w:rsidRPr="00CF2E7C" w:rsidRDefault="00766C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F91EEC"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0D844B8" w14:textId="78B7B23E" w:rsidR="00F91EEC" w:rsidRPr="00F91EEC" w:rsidRDefault="00F91EEC" w:rsidP="00F91EEC">
            <w:pPr>
              <w:textAlignment w:val="baseline"/>
              <w:rPr>
                <w:rFonts w:ascii="Calibri" w:eastAsia="Times New Roman" w:hAnsi="Calibri" w:cs="Calibri"/>
                <w:kern w:val="0"/>
                <w:lang w:val="en-US" w:eastAsia="en-GB"/>
                <w14:ligatures w14:val="none"/>
              </w:rPr>
            </w:pPr>
            <w:r w:rsidRPr="00F91EEC">
              <w:rPr>
                <w:rFonts w:ascii="Calibri" w:eastAsia="Times New Roman" w:hAnsi="Calibri" w:cs="Calibri"/>
                <w:kern w:val="0"/>
                <w:lang w:val="en-US" w:eastAsia="en-GB"/>
                <w14:ligatures w14:val="none"/>
              </w:rPr>
              <w:t>These requirements are further supported by the section “Availability of data, metrics, and information” (“</w:t>
            </w:r>
            <w:proofErr w:type="spellStart"/>
            <w:r w:rsidRPr="00F91EEC">
              <w:rPr>
                <w:rFonts w:ascii="Calibri" w:eastAsia="Times New Roman" w:hAnsi="Calibri" w:cs="Calibri"/>
                <w:kern w:val="0"/>
                <w:lang w:val="en-US" w:eastAsia="en-GB"/>
                <w14:ligatures w14:val="none"/>
              </w:rPr>
              <w:t>Disponibilidad</w:t>
            </w:r>
            <w:proofErr w:type="spellEnd"/>
            <w:r w:rsidRPr="00F91EEC">
              <w:rPr>
                <w:rFonts w:ascii="Calibri" w:eastAsia="Times New Roman" w:hAnsi="Calibri" w:cs="Calibri"/>
                <w:kern w:val="0"/>
                <w:lang w:val="en-US" w:eastAsia="en-GB"/>
                <w14:ligatures w14:val="none"/>
              </w:rPr>
              <w:t xml:space="preserve"> de data, </w:t>
            </w:r>
            <w:proofErr w:type="spellStart"/>
            <w:r w:rsidRPr="00F91EEC">
              <w:rPr>
                <w:rFonts w:ascii="Calibri" w:eastAsia="Times New Roman" w:hAnsi="Calibri" w:cs="Calibri"/>
                <w:kern w:val="0"/>
                <w:lang w:val="en-US" w:eastAsia="en-GB"/>
                <w14:ligatures w14:val="none"/>
              </w:rPr>
              <w:t>métricas</w:t>
            </w:r>
            <w:proofErr w:type="spellEnd"/>
            <w:r w:rsidRPr="00F91EEC">
              <w:rPr>
                <w:rFonts w:ascii="Calibri" w:eastAsia="Times New Roman" w:hAnsi="Calibri" w:cs="Calibri"/>
                <w:kern w:val="0"/>
                <w:lang w:val="en-US" w:eastAsia="en-GB"/>
                <w14:ligatures w14:val="none"/>
              </w:rPr>
              <w:t xml:space="preserve"> e </w:t>
            </w:r>
            <w:proofErr w:type="spellStart"/>
            <w:r w:rsidRPr="00F91EEC">
              <w:rPr>
                <w:rFonts w:ascii="Calibri" w:eastAsia="Times New Roman" w:hAnsi="Calibri" w:cs="Calibri"/>
                <w:kern w:val="0"/>
                <w:lang w:val="en-US" w:eastAsia="en-GB"/>
                <w14:ligatures w14:val="none"/>
              </w:rPr>
              <w:t>información</w:t>
            </w:r>
            <w:proofErr w:type="spellEnd"/>
            <w:r w:rsidRPr="00F91EEC">
              <w:rPr>
                <w:rFonts w:ascii="Calibri" w:eastAsia="Times New Roman" w:hAnsi="Calibri" w:cs="Calibri"/>
                <w:kern w:val="0"/>
                <w:lang w:val="en-US" w:eastAsia="en-GB"/>
                <w14:ligatures w14:val="none"/>
              </w:rPr>
              <w:t>”), which emphasizes the importance of transparent, comparable, and decision-useful disclosure to enable effective risk assessment and capital allocation by market participants and supervisors.</w:t>
            </w:r>
          </w:p>
          <w:p w14:paraId="4DEB14D8" w14:textId="24A04F87" w:rsidR="00C82860" w:rsidRPr="00F91EEC" w:rsidRDefault="00C82860" w:rsidP="00CF2E7C">
            <w:pPr>
              <w:textAlignment w:val="baseline"/>
              <w:rPr>
                <w:rFonts w:ascii="Calibri" w:eastAsia="Times New Roman" w:hAnsi="Calibri" w:cs="Calibri"/>
                <w:kern w:val="0"/>
                <w:lang w:val="en-US"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4BAEF954" w:rsidR="00C82860" w:rsidRPr="00CF2E7C" w:rsidRDefault="00F91E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A14A047" w14:textId="77777777" w:rsidR="00FD778F" w:rsidRDefault="00FD778F" w:rsidP="00CF2E7C">
            <w:pPr>
              <w:textAlignment w:val="baseline"/>
              <w:rPr>
                <w:rFonts w:ascii="Calibri" w:eastAsia="Times New Roman" w:hAnsi="Calibri" w:cs="Calibri"/>
                <w:kern w:val="0"/>
                <w:lang w:val="en-US" w:eastAsia="en-GB"/>
                <w14:ligatures w14:val="none"/>
              </w:rPr>
            </w:pPr>
            <w:r w:rsidRPr="00FD778F">
              <w:rPr>
                <w:rFonts w:ascii="Calibri" w:eastAsia="Times New Roman" w:hAnsi="Calibri" w:cs="Calibri"/>
                <w:kern w:val="0"/>
                <w:lang w:val="en-US" w:eastAsia="en-GB"/>
                <w14:ligatures w14:val="none"/>
              </w:rPr>
              <w:t xml:space="preserve">Yes, the policy tool recommends and increasingly requires the integration of climate-risk assessment as part of the due diligence process for new clients and transaction approvals. This is addressed in the section </w:t>
            </w:r>
            <w:r w:rsidRPr="00FD778F">
              <w:rPr>
                <w:rFonts w:ascii="Calibri" w:eastAsia="Times New Roman" w:hAnsi="Calibri" w:cs="Calibri"/>
                <w:b/>
                <w:bCs/>
                <w:kern w:val="0"/>
                <w:lang w:val="en-US" w:eastAsia="en-GB"/>
                <w14:ligatures w14:val="none"/>
              </w:rPr>
              <w:t>“Incorporation of ESG, including climate and nature-related issues, in the financial system”</w:t>
            </w:r>
            <w:r w:rsidRPr="00FD778F">
              <w:rPr>
                <w:rFonts w:ascii="Calibri" w:eastAsia="Times New Roman" w:hAnsi="Calibri" w:cs="Calibri"/>
                <w:kern w:val="0"/>
                <w:lang w:val="en-US" w:eastAsia="en-GB"/>
                <w14:ligatures w14:val="none"/>
              </w:rPr>
              <w:t xml:space="preserve">, where the SFC outlines supervisory expectations for financial institutions to identify, assess, and manage climate-related risks throughout their business processes, including credit and investment decisions. </w:t>
            </w:r>
          </w:p>
          <w:p w14:paraId="5464A3A5" w14:textId="583D1327" w:rsidR="00C82860" w:rsidRPr="00FD778F" w:rsidRDefault="00FD778F" w:rsidP="00CF2E7C">
            <w:pPr>
              <w:textAlignment w:val="baseline"/>
              <w:rPr>
                <w:rFonts w:ascii="Calibri" w:eastAsia="Times New Roman" w:hAnsi="Calibri" w:cs="Calibri"/>
                <w:kern w:val="0"/>
                <w:lang w:val="en-US" w:eastAsia="en-GB"/>
                <w14:ligatures w14:val="none"/>
              </w:rPr>
            </w:pPr>
            <w:r w:rsidRPr="00FD778F">
              <w:rPr>
                <w:rFonts w:ascii="Calibri" w:eastAsia="Times New Roman" w:hAnsi="Calibri" w:cs="Calibri"/>
                <w:kern w:val="0"/>
                <w:lang w:val="en-US" w:eastAsia="en-GB"/>
                <w14:ligatures w14:val="none"/>
              </w:rPr>
              <w:t xml:space="preserve">The policy tool emphasizes that climate and environmental risks should be considered as material factors in risk management frameworks, and that these risks must be integrated into the evaluation of new clients and transactions. This is further operationalized through technical documents and best practice guides, such as those for pension funds and private equity investments, which explicitly call for the assessment of ESG and climate risks during the investment approval process. Additionally, the section </w:t>
            </w:r>
            <w:r w:rsidRPr="00FD778F">
              <w:rPr>
                <w:rFonts w:ascii="Calibri" w:eastAsia="Times New Roman" w:hAnsi="Calibri" w:cs="Calibri"/>
                <w:b/>
                <w:bCs/>
                <w:kern w:val="0"/>
                <w:lang w:val="en-US" w:eastAsia="en-GB"/>
                <w14:ligatures w14:val="none"/>
              </w:rPr>
              <w:t>“Tools for measuring and supervising climate and nature-related risks”</w:t>
            </w:r>
            <w:r w:rsidRPr="00FD778F">
              <w:rPr>
                <w:rFonts w:ascii="Calibri" w:eastAsia="Times New Roman" w:hAnsi="Calibri" w:cs="Calibri"/>
                <w:kern w:val="0"/>
                <w:lang w:val="en-US" w:eastAsia="en-GB"/>
                <w14:ligatures w14:val="none"/>
              </w:rPr>
              <w:t xml:space="preserve"> (“</w:t>
            </w:r>
            <w:proofErr w:type="spellStart"/>
            <w:r w:rsidRPr="00FD778F">
              <w:rPr>
                <w:rFonts w:ascii="Calibri" w:eastAsia="Times New Roman" w:hAnsi="Calibri" w:cs="Calibri"/>
                <w:kern w:val="0"/>
                <w:lang w:val="en-US" w:eastAsia="en-GB"/>
                <w14:ligatures w14:val="none"/>
              </w:rPr>
              <w:t>Herramientas</w:t>
            </w:r>
            <w:proofErr w:type="spellEnd"/>
            <w:r w:rsidRPr="00FD778F">
              <w:rPr>
                <w:rFonts w:ascii="Calibri" w:eastAsia="Times New Roman" w:hAnsi="Calibri" w:cs="Calibri"/>
                <w:kern w:val="0"/>
                <w:lang w:val="en-US" w:eastAsia="en-GB"/>
                <w14:ligatures w14:val="none"/>
              </w:rPr>
              <w:t xml:space="preserve"> de </w:t>
            </w:r>
            <w:proofErr w:type="spellStart"/>
            <w:r w:rsidRPr="00FD778F">
              <w:rPr>
                <w:rFonts w:ascii="Calibri" w:eastAsia="Times New Roman" w:hAnsi="Calibri" w:cs="Calibri"/>
                <w:kern w:val="0"/>
                <w:lang w:val="en-US" w:eastAsia="en-GB"/>
                <w14:ligatures w14:val="none"/>
              </w:rPr>
              <w:t>medición</w:t>
            </w:r>
            <w:proofErr w:type="spellEnd"/>
            <w:r w:rsidRPr="00FD778F">
              <w:rPr>
                <w:rFonts w:ascii="Calibri" w:eastAsia="Times New Roman" w:hAnsi="Calibri" w:cs="Calibri"/>
                <w:kern w:val="0"/>
                <w:lang w:val="en-US" w:eastAsia="en-GB"/>
                <w14:ligatures w14:val="none"/>
              </w:rPr>
              <w:t xml:space="preserve"> y </w:t>
            </w:r>
            <w:proofErr w:type="spellStart"/>
            <w:r w:rsidRPr="00FD778F">
              <w:rPr>
                <w:rFonts w:ascii="Calibri" w:eastAsia="Times New Roman" w:hAnsi="Calibri" w:cs="Calibri"/>
                <w:kern w:val="0"/>
                <w:lang w:val="en-US" w:eastAsia="en-GB"/>
                <w14:ligatures w14:val="none"/>
              </w:rPr>
              <w:t>supervisión</w:t>
            </w:r>
            <w:proofErr w:type="spellEnd"/>
            <w:r w:rsidRPr="00FD778F">
              <w:rPr>
                <w:rFonts w:ascii="Calibri" w:eastAsia="Times New Roman" w:hAnsi="Calibri" w:cs="Calibri"/>
                <w:kern w:val="0"/>
                <w:lang w:val="en-US" w:eastAsia="en-GB"/>
                <w14:ligatures w14:val="none"/>
              </w:rPr>
              <w:t xml:space="preserve"> de </w:t>
            </w:r>
            <w:proofErr w:type="spellStart"/>
            <w:r w:rsidRPr="00FD778F">
              <w:rPr>
                <w:rFonts w:ascii="Calibri" w:eastAsia="Times New Roman" w:hAnsi="Calibri" w:cs="Calibri"/>
                <w:kern w:val="0"/>
                <w:lang w:val="en-US" w:eastAsia="en-GB"/>
                <w14:ligatures w14:val="none"/>
              </w:rPr>
              <w:t>riesgos</w:t>
            </w:r>
            <w:proofErr w:type="spellEnd"/>
            <w:r w:rsidRPr="00FD778F">
              <w:rPr>
                <w:rFonts w:ascii="Calibri" w:eastAsia="Times New Roman" w:hAnsi="Calibri" w:cs="Calibri"/>
                <w:kern w:val="0"/>
                <w:lang w:val="en-US" w:eastAsia="en-GB"/>
                <w14:ligatures w14:val="none"/>
              </w:rPr>
              <w:t xml:space="preserve"> </w:t>
            </w:r>
            <w:proofErr w:type="spellStart"/>
            <w:r w:rsidRPr="00FD778F">
              <w:rPr>
                <w:rFonts w:ascii="Calibri" w:eastAsia="Times New Roman" w:hAnsi="Calibri" w:cs="Calibri"/>
                <w:kern w:val="0"/>
                <w:lang w:val="en-US" w:eastAsia="en-GB"/>
                <w14:ligatures w14:val="none"/>
              </w:rPr>
              <w:t>climáticos</w:t>
            </w:r>
            <w:proofErr w:type="spellEnd"/>
            <w:r w:rsidRPr="00FD778F">
              <w:rPr>
                <w:rFonts w:ascii="Calibri" w:eastAsia="Times New Roman" w:hAnsi="Calibri" w:cs="Calibri"/>
                <w:kern w:val="0"/>
                <w:lang w:val="en-US" w:eastAsia="en-GB"/>
                <w14:ligatures w14:val="none"/>
              </w:rPr>
              <w:t xml:space="preserve"> y de la </w:t>
            </w:r>
            <w:proofErr w:type="spellStart"/>
            <w:r w:rsidRPr="00FD778F">
              <w:rPr>
                <w:rFonts w:ascii="Calibri" w:eastAsia="Times New Roman" w:hAnsi="Calibri" w:cs="Calibri"/>
                <w:kern w:val="0"/>
                <w:lang w:val="en-US" w:eastAsia="en-GB"/>
                <w14:ligatures w14:val="none"/>
              </w:rPr>
              <w:t>naturaleza</w:t>
            </w:r>
            <w:proofErr w:type="spellEnd"/>
            <w:r w:rsidRPr="00FD778F">
              <w:rPr>
                <w:rFonts w:ascii="Calibri" w:eastAsia="Times New Roman" w:hAnsi="Calibri" w:cs="Calibri"/>
                <w:kern w:val="0"/>
                <w:lang w:val="en-US" w:eastAsia="en-GB"/>
                <w14:ligatures w14:val="none"/>
              </w:rPr>
              <w:t>”) highlights the need for forward-looking risk analysis, including scenario analysis and stress testing, to inform due diligence and approval processes. These requirements and recommendations are designed to ensure that climate-related risks are systematically considered in all relevant financial decision-making processes.</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0AD7D2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D778F">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14A2459F"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D778F">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305592C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D778F">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5DEC57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D778F">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68CE0E9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86B58">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CCB06C6" w14:textId="32460CEE" w:rsidR="006A6F22" w:rsidRDefault="0076666D" w:rsidP="0076666D">
            <w:pPr>
              <w:textAlignment w:val="baseline"/>
              <w:rPr>
                <w:rFonts w:ascii="Calibri" w:eastAsia="Times New Roman" w:hAnsi="Calibri" w:cs="Calibri"/>
                <w:kern w:val="0"/>
                <w:lang w:val="en-US" w:eastAsia="en-GB"/>
                <w14:ligatures w14:val="none"/>
              </w:rPr>
            </w:pPr>
            <w:r w:rsidRPr="0076666D">
              <w:rPr>
                <w:rFonts w:ascii="Calibri" w:eastAsia="Times New Roman" w:hAnsi="Calibri" w:cs="Calibri"/>
                <w:kern w:val="0"/>
                <w:lang w:val="en-US" w:eastAsia="en-GB"/>
                <w14:ligatures w14:val="none"/>
              </w:rPr>
              <w:t>The use of metrics to monitor and assess portfolio exposures to higher climate physical and/or transition risk is detailed in the section “Tools for measuring and supervising climate and nature-related risks” (“</w:t>
            </w:r>
            <w:proofErr w:type="spellStart"/>
            <w:r w:rsidRPr="0076666D">
              <w:rPr>
                <w:rFonts w:ascii="Calibri" w:eastAsia="Times New Roman" w:hAnsi="Calibri" w:cs="Calibri"/>
                <w:kern w:val="0"/>
                <w:lang w:val="en-US" w:eastAsia="en-GB"/>
                <w14:ligatures w14:val="none"/>
              </w:rPr>
              <w:t>Herramientas</w:t>
            </w:r>
            <w:proofErr w:type="spellEnd"/>
            <w:r w:rsidRPr="0076666D">
              <w:rPr>
                <w:rFonts w:ascii="Calibri" w:eastAsia="Times New Roman" w:hAnsi="Calibri" w:cs="Calibri"/>
                <w:kern w:val="0"/>
                <w:lang w:val="en-US" w:eastAsia="en-GB"/>
                <w14:ligatures w14:val="none"/>
              </w:rPr>
              <w:t xml:space="preserve"> de </w:t>
            </w:r>
            <w:proofErr w:type="spellStart"/>
            <w:r w:rsidRPr="0076666D">
              <w:rPr>
                <w:rFonts w:ascii="Calibri" w:eastAsia="Times New Roman" w:hAnsi="Calibri" w:cs="Calibri"/>
                <w:kern w:val="0"/>
                <w:lang w:val="en-US" w:eastAsia="en-GB"/>
                <w14:ligatures w14:val="none"/>
              </w:rPr>
              <w:t>medición</w:t>
            </w:r>
            <w:proofErr w:type="spellEnd"/>
            <w:r w:rsidRPr="0076666D">
              <w:rPr>
                <w:rFonts w:ascii="Calibri" w:eastAsia="Times New Roman" w:hAnsi="Calibri" w:cs="Calibri"/>
                <w:kern w:val="0"/>
                <w:lang w:val="en-US" w:eastAsia="en-GB"/>
                <w14:ligatures w14:val="none"/>
              </w:rPr>
              <w:t xml:space="preserve"> y </w:t>
            </w:r>
            <w:proofErr w:type="spellStart"/>
            <w:r w:rsidRPr="0076666D">
              <w:rPr>
                <w:rFonts w:ascii="Calibri" w:eastAsia="Times New Roman" w:hAnsi="Calibri" w:cs="Calibri"/>
                <w:kern w:val="0"/>
                <w:lang w:val="en-US" w:eastAsia="en-GB"/>
                <w14:ligatures w14:val="none"/>
              </w:rPr>
              <w:t>supervisión</w:t>
            </w:r>
            <w:proofErr w:type="spellEnd"/>
            <w:r w:rsidRPr="0076666D">
              <w:rPr>
                <w:rFonts w:ascii="Calibri" w:eastAsia="Times New Roman" w:hAnsi="Calibri" w:cs="Calibri"/>
                <w:kern w:val="0"/>
                <w:lang w:val="en-US" w:eastAsia="en-GB"/>
                <w14:ligatures w14:val="none"/>
              </w:rPr>
              <w:t xml:space="preserve"> de </w:t>
            </w:r>
            <w:proofErr w:type="spellStart"/>
            <w:r w:rsidRPr="0076666D">
              <w:rPr>
                <w:rFonts w:ascii="Calibri" w:eastAsia="Times New Roman" w:hAnsi="Calibri" w:cs="Calibri"/>
                <w:kern w:val="0"/>
                <w:lang w:val="en-US" w:eastAsia="en-GB"/>
                <w14:ligatures w14:val="none"/>
              </w:rPr>
              <w:t>riesgos</w:t>
            </w:r>
            <w:proofErr w:type="spellEnd"/>
            <w:r w:rsidRPr="0076666D">
              <w:rPr>
                <w:rFonts w:ascii="Calibri" w:eastAsia="Times New Roman" w:hAnsi="Calibri" w:cs="Calibri"/>
                <w:kern w:val="0"/>
                <w:lang w:val="en-US" w:eastAsia="en-GB"/>
                <w14:ligatures w14:val="none"/>
              </w:rPr>
              <w:t xml:space="preserve"> </w:t>
            </w:r>
            <w:proofErr w:type="spellStart"/>
            <w:r w:rsidRPr="0076666D">
              <w:rPr>
                <w:rFonts w:ascii="Calibri" w:eastAsia="Times New Roman" w:hAnsi="Calibri" w:cs="Calibri"/>
                <w:kern w:val="0"/>
                <w:lang w:val="en-US" w:eastAsia="en-GB"/>
                <w14:ligatures w14:val="none"/>
              </w:rPr>
              <w:t>climáticos</w:t>
            </w:r>
            <w:proofErr w:type="spellEnd"/>
            <w:r w:rsidRPr="0076666D">
              <w:rPr>
                <w:rFonts w:ascii="Calibri" w:eastAsia="Times New Roman" w:hAnsi="Calibri" w:cs="Calibri"/>
                <w:kern w:val="0"/>
                <w:lang w:val="en-US" w:eastAsia="en-GB"/>
                <w14:ligatures w14:val="none"/>
              </w:rPr>
              <w:t xml:space="preserve"> y de la </w:t>
            </w:r>
            <w:proofErr w:type="spellStart"/>
            <w:r w:rsidRPr="0076666D">
              <w:rPr>
                <w:rFonts w:ascii="Calibri" w:eastAsia="Times New Roman" w:hAnsi="Calibri" w:cs="Calibri"/>
                <w:kern w:val="0"/>
                <w:lang w:val="en-US" w:eastAsia="en-GB"/>
                <w14:ligatures w14:val="none"/>
              </w:rPr>
              <w:t>naturaleza</w:t>
            </w:r>
            <w:proofErr w:type="spellEnd"/>
            <w:r w:rsidRPr="0076666D">
              <w:rPr>
                <w:rFonts w:ascii="Calibri" w:eastAsia="Times New Roman" w:hAnsi="Calibri" w:cs="Calibri"/>
                <w:kern w:val="0"/>
                <w:lang w:val="en-US" w:eastAsia="en-GB"/>
                <w14:ligatures w14:val="none"/>
              </w:rPr>
              <w:t xml:space="preserve">”). This section explains that the </w:t>
            </w:r>
            <w:r w:rsidR="006A6F22">
              <w:rPr>
                <w:rFonts w:ascii="Calibri" w:eastAsia="Times New Roman" w:hAnsi="Calibri" w:cs="Calibri"/>
                <w:kern w:val="0"/>
                <w:lang w:val="en-US" w:eastAsia="en-GB"/>
                <w14:ligatures w14:val="none"/>
              </w:rPr>
              <w:t xml:space="preserve">SFC </w:t>
            </w:r>
            <w:r w:rsidRPr="0076666D">
              <w:rPr>
                <w:rFonts w:ascii="Calibri" w:eastAsia="Times New Roman" w:hAnsi="Calibri" w:cs="Calibri"/>
                <w:kern w:val="0"/>
                <w:lang w:val="en-US" w:eastAsia="en-GB"/>
                <w14:ligatures w14:val="none"/>
              </w:rPr>
              <w:t>promotes the development and application of quantitative tools, such as scenario analysis and stress testing, to evaluate the potential financial impact of both physical and transition climate risks on financial institutions’ portfolios. Metrics are used to identify exposures by sector, geography, and asset class, enabling institutions to quantify vulnerabilities to events like floods, droughts, or regulatory changes associated with the transition to a low-carbon economy.</w:t>
            </w:r>
          </w:p>
          <w:p w14:paraId="70BA2521" w14:textId="13CFDFAE" w:rsidR="0076666D" w:rsidRPr="0076666D" w:rsidRDefault="0076666D" w:rsidP="0076666D">
            <w:pPr>
              <w:textAlignment w:val="baseline"/>
              <w:rPr>
                <w:rFonts w:ascii="Calibri" w:eastAsia="Times New Roman" w:hAnsi="Calibri" w:cs="Calibri"/>
                <w:kern w:val="0"/>
                <w:lang w:val="en-US" w:eastAsia="en-GB"/>
                <w14:ligatures w14:val="none"/>
              </w:rPr>
            </w:pPr>
            <w:r w:rsidRPr="0076666D">
              <w:rPr>
                <w:rFonts w:ascii="Calibri" w:eastAsia="Times New Roman" w:hAnsi="Calibri" w:cs="Calibri"/>
                <w:kern w:val="0"/>
                <w:lang w:val="en-US" w:eastAsia="en-GB"/>
                <w14:ligatures w14:val="none"/>
              </w:rPr>
              <w:lastRenderedPageBreak/>
              <w:t>The section also highlights the importance of collecting granular data and defining key indicators and thresholds to monitor risk concentrations and trends over time. Additionally, the “Availability of data, metrics, and information” section underscores the need for standardized, comparable metrics to facilitate effective risk assessment and reporting, supporting both internal risk management and regulatory oversight. These practices are designed to ensure that financial institutions can systematically track, evaluate, and respond to elevated climate-related risks within their portfolios.</w:t>
            </w:r>
          </w:p>
          <w:p w14:paraId="593BA361" w14:textId="5ADBB296" w:rsidR="00C82860" w:rsidRPr="006A6F22" w:rsidRDefault="00C82860" w:rsidP="00CF2E7C">
            <w:pPr>
              <w:textAlignment w:val="baseline"/>
              <w:rPr>
                <w:rFonts w:ascii="Calibri" w:eastAsia="Times New Roman" w:hAnsi="Calibri" w:cs="Calibri"/>
                <w:kern w:val="0"/>
                <w:lang w:val="en-US"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2F5F40DC" w:rsidR="00655FF7" w:rsidRPr="00CF2E7C" w:rsidRDefault="007666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7447F609" w:rsidR="003032A9" w:rsidRPr="00CF2E7C" w:rsidRDefault="007666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7CDF561" w14:textId="06408D7F" w:rsidR="00E92E0B" w:rsidRDefault="00E92E0B" w:rsidP="00CF2E7C">
            <w:pPr>
              <w:textAlignment w:val="baseline"/>
              <w:rPr>
                <w:rFonts w:ascii="Calibri" w:eastAsia="Times New Roman" w:hAnsi="Calibri" w:cs="Calibri"/>
                <w:kern w:val="0"/>
                <w:lang w:val="en-US" w:eastAsia="en-GB"/>
                <w14:ligatures w14:val="none"/>
              </w:rPr>
            </w:pPr>
            <w:r w:rsidRPr="00E92E0B">
              <w:rPr>
                <w:rFonts w:ascii="Calibri" w:eastAsia="Times New Roman" w:hAnsi="Calibri" w:cs="Calibri"/>
                <w:kern w:val="0"/>
                <w:lang w:val="en-US" w:eastAsia="en-GB"/>
                <w14:ligatures w14:val="none"/>
              </w:rPr>
              <w:t>The scenario analysis or stress-testing exercise for entities above a certain specified threshold is detailed in the section “Tools for measuring and supervising climate and nature-related risks” (“</w:t>
            </w:r>
            <w:proofErr w:type="spellStart"/>
            <w:r w:rsidRPr="00E92E0B">
              <w:rPr>
                <w:rFonts w:ascii="Calibri" w:eastAsia="Times New Roman" w:hAnsi="Calibri" w:cs="Calibri"/>
                <w:kern w:val="0"/>
                <w:lang w:val="en-US" w:eastAsia="en-GB"/>
                <w14:ligatures w14:val="none"/>
              </w:rPr>
              <w:t>Herramientas</w:t>
            </w:r>
            <w:proofErr w:type="spellEnd"/>
            <w:r w:rsidRPr="00E92E0B">
              <w:rPr>
                <w:rFonts w:ascii="Calibri" w:eastAsia="Times New Roman" w:hAnsi="Calibri" w:cs="Calibri"/>
                <w:kern w:val="0"/>
                <w:lang w:val="en-US" w:eastAsia="en-GB"/>
                <w14:ligatures w14:val="none"/>
              </w:rPr>
              <w:t xml:space="preserve"> de </w:t>
            </w:r>
            <w:proofErr w:type="spellStart"/>
            <w:r w:rsidRPr="00E92E0B">
              <w:rPr>
                <w:rFonts w:ascii="Calibri" w:eastAsia="Times New Roman" w:hAnsi="Calibri" w:cs="Calibri"/>
                <w:kern w:val="0"/>
                <w:lang w:val="en-US" w:eastAsia="en-GB"/>
                <w14:ligatures w14:val="none"/>
              </w:rPr>
              <w:t>medición</w:t>
            </w:r>
            <w:proofErr w:type="spellEnd"/>
            <w:r w:rsidRPr="00E92E0B">
              <w:rPr>
                <w:rFonts w:ascii="Calibri" w:eastAsia="Times New Roman" w:hAnsi="Calibri" w:cs="Calibri"/>
                <w:kern w:val="0"/>
                <w:lang w:val="en-US" w:eastAsia="en-GB"/>
                <w14:ligatures w14:val="none"/>
              </w:rPr>
              <w:t xml:space="preserve"> y </w:t>
            </w:r>
            <w:proofErr w:type="spellStart"/>
            <w:r w:rsidRPr="00E92E0B">
              <w:rPr>
                <w:rFonts w:ascii="Calibri" w:eastAsia="Times New Roman" w:hAnsi="Calibri" w:cs="Calibri"/>
                <w:kern w:val="0"/>
                <w:lang w:val="en-US" w:eastAsia="en-GB"/>
                <w14:ligatures w14:val="none"/>
              </w:rPr>
              <w:t>supervisión</w:t>
            </w:r>
            <w:proofErr w:type="spellEnd"/>
            <w:r w:rsidRPr="00E92E0B">
              <w:rPr>
                <w:rFonts w:ascii="Calibri" w:eastAsia="Times New Roman" w:hAnsi="Calibri" w:cs="Calibri"/>
                <w:kern w:val="0"/>
                <w:lang w:val="en-US" w:eastAsia="en-GB"/>
                <w14:ligatures w14:val="none"/>
              </w:rPr>
              <w:t xml:space="preserve"> de </w:t>
            </w:r>
            <w:proofErr w:type="spellStart"/>
            <w:r w:rsidRPr="00E92E0B">
              <w:rPr>
                <w:rFonts w:ascii="Calibri" w:eastAsia="Times New Roman" w:hAnsi="Calibri" w:cs="Calibri"/>
                <w:kern w:val="0"/>
                <w:lang w:val="en-US" w:eastAsia="en-GB"/>
                <w14:ligatures w14:val="none"/>
              </w:rPr>
              <w:t>riesgos</w:t>
            </w:r>
            <w:proofErr w:type="spellEnd"/>
            <w:r w:rsidRPr="00E92E0B">
              <w:rPr>
                <w:rFonts w:ascii="Calibri" w:eastAsia="Times New Roman" w:hAnsi="Calibri" w:cs="Calibri"/>
                <w:kern w:val="0"/>
                <w:lang w:val="en-US" w:eastAsia="en-GB"/>
                <w14:ligatures w14:val="none"/>
              </w:rPr>
              <w:t xml:space="preserve"> </w:t>
            </w:r>
            <w:proofErr w:type="spellStart"/>
            <w:r w:rsidRPr="00E92E0B">
              <w:rPr>
                <w:rFonts w:ascii="Calibri" w:eastAsia="Times New Roman" w:hAnsi="Calibri" w:cs="Calibri"/>
                <w:kern w:val="0"/>
                <w:lang w:val="en-US" w:eastAsia="en-GB"/>
                <w14:ligatures w14:val="none"/>
              </w:rPr>
              <w:t>climáticos</w:t>
            </w:r>
            <w:proofErr w:type="spellEnd"/>
            <w:r w:rsidRPr="00E92E0B">
              <w:rPr>
                <w:rFonts w:ascii="Calibri" w:eastAsia="Times New Roman" w:hAnsi="Calibri" w:cs="Calibri"/>
                <w:kern w:val="0"/>
                <w:lang w:val="en-US" w:eastAsia="en-GB"/>
                <w14:ligatures w14:val="none"/>
              </w:rPr>
              <w:t xml:space="preserve"> y de la </w:t>
            </w:r>
            <w:proofErr w:type="spellStart"/>
            <w:r w:rsidRPr="00E92E0B">
              <w:rPr>
                <w:rFonts w:ascii="Calibri" w:eastAsia="Times New Roman" w:hAnsi="Calibri" w:cs="Calibri"/>
                <w:kern w:val="0"/>
                <w:lang w:val="en-US" w:eastAsia="en-GB"/>
                <w14:ligatures w14:val="none"/>
              </w:rPr>
              <w:t>naturaleza</w:t>
            </w:r>
            <w:proofErr w:type="spellEnd"/>
            <w:r w:rsidRPr="00E92E0B">
              <w:rPr>
                <w:rFonts w:ascii="Calibri" w:eastAsia="Times New Roman" w:hAnsi="Calibri" w:cs="Calibri"/>
                <w:kern w:val="0"/>
                <w:lang w:val="en-US" w:eastAsia="en-GB"/>
                <w14:ligatures w14:val="none"/>
              </w:rPr>
              <w:t xml:space="preserve">”). Specifically, the document outlines that the </w:t>
            </w:r>
            <w:r>
              <w:rPr>
                <w:rFonts w:ascii="Calibri" w:eastAsia="Times New Roman" w:hAnsi="Calibri" w:cs="Calibri"/>
                <w:kern w:val="0"/>
                <w:lang w:val="en-US" w:eastAsia="en-GB"/>
                <w14:ligatures w14:val="none"/>
              </w:rPr>
              <w:t>SFC</w:t>
            </w:r>
            <w:r w:rsidRPr="00E92E0B">
              <w:rPr>
                <w:rFonts w:ascii="Calibri" w:eastAsia="Times New Roman" w:hAnsi="Calibri" w:cs="Calibri"/>
                <w:kern w:val="0"/>
                <w:lang w:val="en-US" w:eastAsia="en-GB"/>
                <w14:ligatures w14:val="none"/>
              </w:rPr>
              <w:t xml:space="preserve"> applies these quantitative tools to evaluate the potential financial impact of climate risks on financial institutions' portfolios. The threshold for entities subject to these exercises is not explicitly defined in the document, but the section emphasizes the importance of identifying exposures by sector, geography, and asset class, which implies that entities with significant exposure in these areas are prioritized. </w:t>
            </w:r>
          </w:p>
          <w:p w14:paraId="7911ECCD" w14:textId="38FB2746" w:rsidR="009818E7" w:rsidRPr="00E92E0B" w:rsidRDefault="00E92E0B" w:rsidP="00CF2E7C">
            <w:pPr>
              <w:textAlignment w:val="baseline"/>
              <w:rPr>
                <w:rFonts w:ascii="Calibri" w:eastAsia="Times New Roman" w:hAnsi="Calibri" w:cs="Calibri"/>
                <w:kern w:val="0"/>
                <w:lang w:val="en-US" w:eastAsia="en-GB"/>
                <w14:ligatures w14:val="none"/>
              </w:rPr>
            </w:pPr>
            <w:r w:rsidRPr="00E92E0B">
              <w:rPr>
                <w:rFonts w:ascii="Calibri" w:eastAsia="Times New Roman" w:hAnsi="Calibri" w:cs="Calibri"/>
                <w:kern w:val="0"/>
                <w:lang w:val="en-US" w:eastAsia="en-GB"/>
                <w14:ligatures w14:val="none"/>
              </w:rPr>
              <w:lastRenderedPageBreak/>
              <w:t xml:space="preserve">Additionally, the “Incorporation of ESG issues, including climate and nature, in the financial system” (“Incorporación de </w:t>
            </w:r>
            <w:proofErr w:type="spellStart"/>
            <w:r w:rsidRPr="00E92E0B">
              <w:rPr>
                <w:rFonts w:ascii="Calibri" w:eastAsia="Times New Roman" w:hAnsi="Calibri" w:cs="Calibri"/>
                <w:kern w:val="0"/>
                <w:lang w:val="en-US" w:eastAsia="en-GB"/>
                <w14:ligatures w14:val="none"/>
              </w:rPr>
              <w:t>los</w:t>
            </w:r>
            <w:proofErr w:type="spellEnd"/>
            <w:r w:rsidRPr="00E92E0B">
              <w:rPr>
                <w:rFonts w:ascii="Calibri" w:eastAsia="Times New Roman" w:hAnsi="Calibri" w:cs="Calibri"/>
                <w:kern w:val="0"/>
                <w:lang w:val="en-US" w:eastAsia="en-GB"/>
                <w14:ligatures w14:val="none"/>
              </w:rPr>
              <w:t xml:space="preserve"> </w:t>
            </w:r>
            <w:proofErr w:type="spellStart"/>
            <w:r w:rsidRPr="00E92E0B">
              <w:rPr>
                <w:rFonts w:ascii="Calibri" w:eastAsia="Times New Roman" w:hAnsi="Calibri" w:cs="Calibri"/>
                <w:kern w:val="0"/>
                <w:lang w:val="en-US" w:eastAsia="en-GB"/>
                <w14:ligatures w14:val="none"/>
              </w:rPr>
              <w:t>asuntos</w:t>
            </w:r>
            <w:proofErr w:type="spellEnd"/>
            <w:r w:rsidRPr="00E92E0B">
              <w:rPr>
                <w:rFonts w:ascii="Calibri" w:eastAsia="Times New Roman" w:hAnsi="Calibri" w:cs="Calibri"/>
                <w:kern w:val="0"/>
                <w:lang w:val="en-US" w:eastAsia="en-GB"/>
                <w14:ligatures w14:val="none"/>
              </w:rPr>
              <w:t xml:space="preserve"> ASG, </w:t>
            </w:r>
            <w:proofErr w:type="spellStart"/>
            <w:r w:rsidRPr="00E92E0B">
              <w:rPr>
                <w:rFonts w:ascii="Calibri" w:eastAsia="Times New Roman" w:hAnsi="Calibri" w:cs="Calibri"/>
                <w:kern w:val="0"/>
                <w:lang w:val="en-US" w:eastAsia="en-GB"/>
                <w14:ligatures w14:val="none"/>
              </w:rPr>
              <w:t>incluido</w:t>
            </w:r>
            <w:proofErr w:type="spellEnd"/>
            <w:r w:rsidRPr="00E92E0B">
              <w:rPr>
                <w:rFonts w:ascii="Calibri" w:eastAsia="Times New Roman" w:hAnsi="Calibri" w:cs="Calibri"/>
                <w:kern w:val="0"/>
                <w:lang w:val="en-US" w:eastAsia="en-GB"/>
                <w14:ligatures w14:val="none"/>
              </w:rPr>
              <w:t xml:space="preserve"> </w:t>
            </w:r>
            <w:proofErr w:type="spellStart"/>
            <w:r w:rsidRPr="00E92E0B">
              <w:rPr>
                <w:rFonts w:ascii="Calibri" w:eastAsia="Times New Roman" w:hAnsi="Calibri" w:cs="Calibri"/>
                <w:kern w:val="0"/>
                <w:lang w:val="en-US" w:eastAsia="en-GB"/>
                <w14:ligatures w14:val="none"/>
              </w:rPr>
              <w:t>el</w:t>
            </w:r>
            <w:proofErr w:type="spellEnd"/>
            <w:r w:rsidRPr="00E92E0B">
              <w:rPr>
                <w:rFonts w:ascii="Calibri" w:eastAsia="Times New Roman" w:hAnsi="Calibri" w:cs="Calibri"/>
                <w:kern w:val="0"/>
                <w:lang w:val="en-US" w:eastAsia="en-GB"/>
                <w14:ligatures w14:val="none"/>
              </w:rPr>
              <w:t xml:space="preserve"> </w:t>
            </w:r>
            <w:proofErr w:type="spellStart"/>
            <w:r w:rsidRPr="00E92E0B">
              <w:rPr>
                <w:rFonts w:ascii="Calibri" w:eastAsia="Times New Roman" w:hAnsi="Calibri" w:cs="Calibri"/>
                <w:kern w:val="0"/>
                <w:lang w:val="en-US" w:eastAsia="en-GB"/>
                <w14:ligatures w14:val="none"/>
              </w:rPr>
              <w:t>climático</w:t>
            </w:r>
            <w:proofErr w:type="spellEnd"/>
            <w:r w:rsidRPr="00E92E0B">
              <w:rPr>
                <w:rFonts w:ascii="Calibri" w:eastAsia="Times New Roman" w:hAnsi="Calibri" w:cs="Calibri"/>
                <w:kern w:val="0"/>
                <w:lang w:val="en-US" w:eastAsia="en-GB"/>
                <w14:ligatures w14:val="none"/>
              </w:rPr>
              <w:t xml:space="preserve"> y de la </w:t>
            </w:r>
            <w:proofErr w:type="spellStart"/>
            <w:r w:rsidRPr="00E92E0B">
              <w:rPr>
                <w:rFonts w:ascii="Calibri" w:eastAsia="Times New Roman" w:hAnsi="Calibri" w:cs="Calibri"/>
                <w:kern w:val="0"/>
                <w:lang w:val="en-US" w:eastAsia="en-GB"/>
                <w14:ligatures w14:val="none"/>
              </w:rPr>
              <w:t>naturaleza</w:t>
            </w:r>
            <w:proofErr w:type="spellEnd"/>
            <w:r w:rsidRPr="00E92E0B">
              <w:rPr>
                <w:rFonts w:ascii="Calibri" w:eastAsia="Times New Roman" w:hAnsi="Calibri" w:cs="Calibri"/>
                <w:kern w:val="0"/>
                <w:lang w:val="en-US" w:eastAsia="en-GB"/>
                <w14:ligatures w14:val="none"/>
              </w:rPr>
              <w:t xml:space="preserve">, </w:t>
            </w:r>
            <w:proofErr w:type="spellStart"/>
            <w:r w:rsidRPr="00E92E0B">
              <w:rPr>
                <w:rFonts w:ascii="Calibri" w:eastAsia="Times New Roman" w:hAnsi="Calibri" w:cs="Calibri"/>
                <w:kern w:val="0"/>
                <w:lang w:val="en-US" w:eastAsia="en-GB"/>
                <w14:ligatures w14:val="none"/>
              </w:rPr>
              <w:t>en</w:t>
            </w:r>
            <w:proofErr w:type="spellEnd"/>
            <w:r w:rsidRPr="00E92E0B">
              <w:rPr>
                <w:rFonts w:ascii="Calibri" w:eastAsia="Times New Roman" w:hAnsi="Calibri" w:cs="Calibri"/>
                <w:kern w:val="0"/>
                <w:lang w:val="en-US" w:eastAsia="en-GB"/>
                <w14:ligatures w14:val="none"/>
              </w:rPr>
              <w:t xml:space="preserve"> </w:t>
            </w:r>
            <w:proofErr w:type="spellStart"/>
            <w:r w:rsidRPr="00E92E0B">
              <w:rPr>
                <w:rFonts w:ascii="Calibri" w:eastAsia="Times New Roman" w:hAnsi="Calibri" w:cs="Calibri"/>
                <w:kern w:val="0"/>
                <w:lang w:val="en-US" w:eastAsia="en-GB"/>
                <w14:ligatures w14:val="none"/>
              </w:rPr>
              <w:t>el</w:t>
            </w:r>
            <w:proofErr w:type="spellEnd"/>
            <w:r w:rsidRPr="00E92E0B">
              <w:rPr>
                <w:rFonts w:ascii="Calibri" w:eastAsia="Times New Roman" w:hAnsi="Calibri" w:cs="Calibri"/>
                <w:kern w:val="0"/>
                <w:lang w:val="en-US" w:eastAsia="en-GB"/>
                <w14:ligatures w14:val="none"/>
              </w:rPr>
              <w:t xml:space="preserve"> </w:t>
            </w:r>
            <w:proofErr w:type="spellStart"/>
            <w:r w:rsidRPr="00E92E0B">
              <w:rPr>
                <w:rFonts w:ascii="Calibri" w:eastAsia="Times New Roman" w:hAnsi="Calibri" w:cs="Calibri"/>
                <w:kern w:val="0"/>
                <w:lang w:val="en-US" w:eastAsia="en-GB"/>
                <w14:ligatures w14:val="none"/>
              </w:rPr>
              <w:t>sistema</w:t>
            </w:r>
            <w:proofErr w:type="spellEnd"/>
            <w:r w:rsidRPr="00E92E0B">
              <w:rPr>
                <w:rFonts w:ascii="Calibri" w:eastAsia="Times New Roman" w:hAnsi="Calibri" w:cs="Calibri"/>
                <w:kern w:val="0"/>
                <w:lang w:val="en-US" w:eastAsia="en-GB"/>
                <w14:ligatures w14:val="none"/>
              </w:rPr>
              <w:t xml:space="preserve"> </w:t>
            </w:r>
            <w:proofErr w:type="spellStart"/>
            <w:r w:rsidRPr="00E92E0B">
              <w:rPr>
                <w:rFonts w:ascii="Calibri" w:eastAsia="Times New Roman" w:hAnsi="Calibri" w:cs="Calibri"/>
                <w:kern w:val="0"/>
                <w:lang w:val="en-US" w:eastAsia="en-GB"/>
                <w14:ligatures w14:val="none"/>
              </w:rPr>
              <w:t>financiero</w:t>
            </w:r>
            <w:proofErr w:type="spellEnd"/>
            <w:r w:rsidRPr="00E92E0B">
              <w:rPr>
                <w:rFonts w:ascii="Calibri" w:eastAsia="Times New Roman" w:hAnsi="Calibri" w:cs="Calibri"/>
                <w:kern w:val="0"/>
                <w:lang w:val="en-US" w:eastAsia="en-GB"/>
                <w14:ligatures w14:val="none"/>
              </w:rPr>
              <w:t>”) section suggests that larger, more liquid entities, categorized as Group A issuers, are required to disclose information related to climate risks, indicating that these entities are likely subject to more rigorous scenario analysis. This approach ensures that entities with substantial market influence and higher risk exposure are systematically evaluated to maintain financial stability.</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450BFD4F" w:rsidR="003D5104" w:rsidRPr="00CF2E7C" w:rsidRDefault="007516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78018BAC" w:rsidR="003D5104" w:rsidRPr="00CF2E7C" w:rsidRDefault="007516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10C3F5BC" w:rsidR="003D5104" w:rsidRPr="00CF2E7C" w:rsidRDefault="007516CF" w:rsidP="00CF2E7C">
            <w:pPr>
              <w:textAlignment w:val="baseline"/>
              <w:rPr>
                <w:rFonts w:ascii="Calibri" w:eastAsia="Times New Roman" w:hAnsi="Calibri" w:cs="Calibri"/>
                <w:kern w:val="0"/>
                <w:lang w:eastAsia="en-GB"/>
                <w14:ligatures w14:val="none"/>
              </w:rPr>
            </w:pPr>
            <w:r w:rsidRPr="007516CF">
              <w:rPr>
                <w:rFonts w:ascii="Calibri" w:eastAsia="Times New Roman" w:hAnsi="Calibri" w:cs="Calibri"/>
                <w:kern w:val="0"/>
                <w:lang w:eastAsia="en-GB"/>
                <w14:ligatures w14:val="none"/>
              </w:rPr>
              <w:t>These approaches are reflected in the use of scenario analysis and stress-testing exercises, where narrative scenarios are quantified to assess the potential impacts of climate risks, and model-driven methodologies are applied to estimate the effects of physical and transition risks on financial institutions. There is no explicit mention of the use of Fully Narrative Scenarios or Probabilistic Scenarios as standalone tools within the prudential policy framework described.</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15A7D184"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621D6116" w:rsidR="00BE1F9E" w:rsidRPr="00CF2E7C" w:rsidRDefault="008D131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B342F9E" w14:textId="77777777" w:rsidR="008D1317" w:rsidRDefault="008D1317" w:rsidP="008D1317">
            <w:pPr>
              <w:textAlignment w:val="baseline"/>
              <w:rPr>
                <w:rFonts w:ascii="Calibri" w:eastAsia="Times New Roman" w:hAnsi="Calibri" w:cs="Calibri"/>
                <w:kern w:val="0"/>
                <w:lang w:val="en-US" w:eastAsia="en-GB"/>
                <w14:ligatures w14:val="none"/>
              </w:rPr>
            </w:pPr>
            <w:r w:rsidRPr="008D1317">
              <w:rPr>
                <w:rFonts w:ascii="Calibri" w:eastAsia="Times New Roman" w:hAnsi="Calibri" w:cs="Calibri"/>
                <w:kern w:val="0"/>
                <w:lang w:val="en-US" w:eastAsia="en-GB"/>
                <w14:ligatures w14:val="none"/>
              </w:rPr>
              <w:t>The process of selecting scenarios for stress-testing or scenario analysis in the prudential policy tool is grounded in the identification of relevant physical and transition risks that could materially impact the financial system. As described in the section on "</w:t>
            </w:r>
            <w:proofErr w:type="spellStart"/>
            <w:r w:rsidRPr="008D1317">
              <w:rPr>
                <w:rFonts w:ascii="Calibri" w:eastAsia="Times New Roman" w:hAnsi="Calibri" w:cs="Calibri"/>
                <w:i/>
                <w:iCs/>
                <w:kern w:val="0"/>
                <w:lang w:val="en-US" w:eastAsia="en-GB"/>
                <w14:ligatures w14:val="none"/>
              </w:rPr>
              <w:t>Herramientas</w:t>
            </w:r>
            <w:proofErr w:type="spellEnd"/>
            <w:r w:rsidRPr="008D1317">
              <w:rPr>
                <w:rFonts w:ascii="Calibri" w:eastAsia="Times New Roman" w:hAnsi="Calibri" w:cs="Calibri"/>
                <w:i/>
                <w:iCs/>
                <w:kern w:val="0"/>
                <w:lang w:val="en-US" w:eastAsia="en-GB"/>
                <w14:ligatures w14:val="none"/>
              </w:rPr>
              <w:t xml:space="preserve"> de </w:t>
            </w:r>
            <w:proofErr w:type="spellStart"/>
            <w:r w:rsidRPr="008D1317">
              <w:rPr>
                <w:rFonts w:ascii="Calibri" w:eastAsia="Times New Roman" w:hAnsi="Calibri" w:cs="Calibri"/>
                <w:i/>
                <w:iCs/>
                <w:kern w:val="0"/>
                <w:lang w:val="en-US" w:eastAsia="en-GB"/>
                <w14:ligatures w14:val="none"/>
              </w:rPr>
              <w:t>medición</w:t>
            </w:r>
            <w:proofErr w:type="spellEnd"/>
            <w:r w:rsidRPr="008D1317">
              <w:rPr>
                <w:rFonts w:ascii="Calibri" w:eastAsia="Times New Roman" w:hAnsi="Calibri" w:cs="Calibri"/>
                <w:i/>
                <w:iCs/>
                <w:kern w:val="0"/>
                <w:lang w:val="en-US" w:eastAsia="en-GB"/>
                <w14:ligatures w14:val="none"/>
              </w:rPr>
              <w:t xml:space="preserve"> y </w:t>
            </w:r>
            <w:proofErr w:type="spellStart"/>
            <w:r w:rsidRPr="008D1317">
              <w:rPr>
                <w:rFonts w:ascii="Calibri" w:eastAsia="Times New Roman" w:hAnsi="Calibri" w:cs="Calibri"/>
                <w:i/>
                <w:iCs/>
                <w:kern w:val="0"/>
                <w:lang w:val="en-US" w:eastAsia="en-GB"/>
                <w14:ligatures w14:val="none"/>
              </w:rPr>
              <w:t>supervisión</w:t>
            </w:r>
            <w:proofErr w:type="spellEnd"/>
            <w:r w:rsidRPr="008D1317">
              <w:rPr>
                <w:rFonts w:ascii="Calibri" w:eastAsia="Times New Roman" w:hAnsi="Calibri" w:cs="Calibri"/>
                <w:i/>
                <w:iCs/>
                <w:kern w:val="0"/>
                <w:lang w:val="en-US" w:eastAsia="en-GB"/>
                <w14:ligatures w14:val="none"/>
              </w:rPr>
              <w:t xml:space="preserve"> de </w:t>
            </w:r>
            <w:proofErr w:type="spellStart"/>
            <w:r w:rsidRPr="008D1317">
              <w:rPr>
                <w:rFonts w:ascii="Calibri" w:eastAsia="Times New Roman" w:hAnsi="Calibri" w:cs="Calibri"/>
                <w:i/>
                <w:iCs/>
                <w:kern w:val="0"/>
                <w:lang w:val="en-US" w:eastAsia="en-GB"/>
                <w14:ligatures w14:val="none"/>
              </w:rPr>
              <w:t>riesgos</w:t>
            </w:r>
            <w:proofErr w:type="spellEnd"/>
            <w:r w:rsidRPr="008D1317">
              <w:rPr>
                <w:rFonts w:ascii="Calibri" w:eastAsia="Times New Roman" w:hAnsi="Calibri" w:cs="Calibri"/>
                <w:i/>
                <w:iCs/>
                <w:kern w:val="0"/>
                <w:lang w:val="en-US" w:eastAsia="en-GB"/>
                <w14:ligatures w14:val="none"/>
              </w:rPr>
              <w:t xml:space="preserve"> </w:t>
            </w:r>
            <w:proofErr w:type="spellStart"/>
            <w:r w:rsidRPr="008D1317">
              <w:rPr>
                <w:rFonts w:ascii="Calibri" w:eastAsia="Times New Roman" w:hAnsi="Calibri" w:cs="Calibri"/>
                <w:i/>
                <w:iCs/>
                <w:kern w:val="0"/>
                <w:lang w:val="en-US" w:eastAsia="en-GB"/>
                <w14:ligatures w14:val="none"/>
              </w:rPr>
              <w:t>climáticos</w:t>
            </w:r>
            <w:proofErr w:type="spellEnd"/>
            <w:r w:rsidRPr="008D1317">
              <w:rPr>
                <w:rFonts w:ascii="Calibri" w:eastAsia="Times New Roman" w:hAnsi="Calibri" w:cs="Calibri"/>
                <w:i/>
                <w:iCs/>
                <w:kern w:val="0"/>
                <w:lang w:val="en-US" w:eastAsia="en-GB"/>
                <w14:ligatures w14:val="none"/>
              </w:rPr>
              <w:t xml:space="preserve"> y de la </w:t>
            </w:r>
            <w:proofErr w:type="spellStart"/>
            <w:r w:rsidRPr="008D1317">
              <w:rPr>
                <w:rFonts w:ascii="Calibri" w:eastAsia="Times New Roman" w:hAnsi="Calibri" w:cs="Calibri"/>
                <w:i/>
                <w:iCs/>
                <w:kern w:val="0"/>
                <w:lang w:val="en-US" w:eastAsia="en-GB"/>
                <w14:ligatures w14:val="none"/>
              </w:rPr>
              <w:t>naturaleza</w:t>
            </w:r>
            <w:proofErr w:type="spellEnd"/>
            <w:r w:rsidRPr="008D1317">
              <w:rPr>
                <w:rFonts w:ascii="Calibri" w:eastAsia="Times New Roman" w:hAnsi="Calibri" w:cs="Calibri"/>
                <w:kern w:val="0"/>
                <w:lang w:val="en-US" w:eastAsia="en-GB"/>
                <w14:ligatures w14:val="none"/>
              </w:rPr>
              <w:t xml:space="preserve">," the selection of scenarios </w:t>
            </w:r>
            <w:r w:rsidRPr="008D1317">
              <w:rPr>
                <w:rFonts w:ascii="Calibri" w:eastAsia="Times New Roman" w:hAnsi="Calibri" w:cs="Calibri"/>
                <w:kern w:val="0"/>
                <w:lang w:val="en-US" w:eastAsia="en-GB"/>
                <w14:ligatures w14:val="none"/>
              </w:rPr>
              <w:lastRenderedPageBreak/>
              <w:t xml:space="preserve">involves defining both physical risk scenarios—such as increased frequency and severity of floods or droughts—and transition risk scenarios, which consider the economic impacts of policy changes, technological shifts, or market developments aimed at reducing carbon emissions. </w:t>
            </w:r>
          </w:p>
          <w:p w14:paraId="0F666522" w14:textId="33825CF0" w:rsidR="008D1317" w:rsidRPr="008D1317" w:rsidRDefault="008D1317" w:rsidP="008D1317">
            <w:pPr>
              <w:textAlignment w:val="baseline"/>
              <w:rPr>
                <w:rFonts w:ascii="Calibri" w:eastAsia="Times New Roman" w:hAnsi="Calibri" w:cs="Calibri"/>
                <w:kern w:val="0"/>
                <w:lang w:val="en-US" w:eastAsia="en-GB"/>
                <w14:ligatures w14:val="none"/>
              </w:rPr>
            </w:pPr>
            <w:r w:rsidRPr="008D1317">
              <w:rPr>
                <w:rFonts w:ascii="Calibri" w:eastAsia="Times New Roman" w:hAnsi="Calibri" w:cs="Calibri"/>
                <w:kern w:val="0"/>
                <w:lang w:val="en-US" w:eastAsia="en-GB"/>
                <w14:ligatures w14:val="none"/>
              </w:rPr>
              <w:t>The methodology typically starts with the creation of economic risk indicators (e.g., flood risk indicators at the municipal level) and the estimation of the sensitivity of financial variables (such as credit provisions or solvency ratios) to these risks. For transition risks, the process includes defining multiple transition pathways based on national climate targets and the timing of policy implementation, then modeling the macroeconomic and sectoral impacts using general equilibrium models. These modeled outcomes are then linked to financial sector exposures to estimate potential losses and impacts on financial stability. This approach is detailed in the section "</w:t>
            </w:r>
            <w:proofErr w:type="spellStart"/>
            <w:r w:rsidRPr="008D1317">
              <w:rPr>
                <w:rFonts w:ascii="Calibri" w:eastAsia="Times New Roman" w:hAnsi="Calibri" w:cs="Calibri"/>
                <w:kern w:val="0"/>
                <w:lang w:val="en-US" w:eastAsia="en-GB"/>
                <w14:ligatures w14:val="none"/>
              </w:rPr>
              <w:t>Análisis</w:t>
            </w:r>
            <w:proofErr w:type="spellEnd"/>
            <w:r w:rsidRPr="008D1317">
              <w:rPr>
                <w:rFonts w:ascii="Calibri" w:eastAsia="Times New Roman" w:hAnsi="Calibri" w:cs="Calibri"/>
                <w:kern w:val="0"/>
                <w:lang w:val="en-US" w:eastAsia="en-GB"/>
                <w14:ligatures w14:val="none"/>
              </w:rPr>
              <w:t xml:space="preserve"> </w:t>
            </w:r>
            <w:proofErr w:type="spellStart"/>
            <w:r w:rsidRPr="008D1317">
              <w:rPr>
                <w:rFonts w:ascii="Calibri" w:eastAsia="Times New Roman" w:hAnsi="Calibri" w:cs="Calibri"/>
                <w:kern w:val="0"/>
                <w:lang w:val="en-US" w:eastAsia="en-GB"/>
                <w14:ligatures w14:val="none"/>
              </w:rPr>
              <w:t>cuantitativos</w:t>
            </w:r>
            <w:proofErr w:type="spellEnd"/>
            <w:r w:rsidRPr="008D1317">
              <w:rPr>
                <w:rFonts w:ascii="Calibri" w:eastAsia="Times New Roman" w:hAnsi="Calibri" w:cs="Calibri"/>
                <w:kern w:val="0"/>
                <w:lang w:val="en-US" w:eastAsia="en-GB"/>
                <w14:ligatures w14:val="none"/>
              </w:rPr>
              <w:t xml:space="preserve"> </w:t>
            </w:r>
            <w:proofErr w:type="spellStart"/>
            <w:r w:rsidRPr="008D1317">
              <w:rPr>
                <w:rFonts w:ascii="Calibri" w:eastAsia="Times New Roman" w:hAnsi="Calibri" w:cs="Calibri"/>
                <w:kern w:val="0"/>
                <w:lang w:val="en-US" w:eastAsia="en-GB"/>
                <w14:ligatures w14:val="none"/>
              </w:rPr>
              <w:t>prospectivos</w:t>
            </w:r>
            <w:proofErr w:type="spellEnd"/>
            <w:r w:rsidRPr="008D1317">
              <w:rPr>
                <w:rFonts w:ascii="Calibri" w:eastAsia="Times New Roman" w:hAnsi="Calibri" w:cs="Calibri"/>
                <w:kern w:val="0"/>
                <w:lang w:val="en-US" w:eastAsia="en-GB"/>
                <w14:ligatures w14:val="none"/>
              </w:rPr>
              <w:t xml:space="preserve"> </w:t>
            </w:r>
            <w:proofErr w:type="spellStart"/>
            <w:r w:rsidRPr="008D1317">
              <w:rPr>
                <w:rFonts w:ascii="Calibri" w:eastAsia="Times New Roman" w:hAnsi="Calibri" w:cs="Calibri"/>
                <w:kern w:val="0"/>
                <w:lang w:val="en-US" w:eastAsia="en-GB"/>
                <w14:ligatures w14:val="none"/>
              </w:rPr>
              <w:t>realizados</w:t>
            </w:r>
            <w:proofErr w:type="spellEnd"/>
            <w:r w:rsidRPr="008D1317">
              <w:rPr>
                <w:rFonts w:ascii="Calibri" w:eastAsia="Times New Roman" w:hAnsi="Calibri" w:cs="Calibri"/>
                <w:kern w:val="0"/>
                <w:lang w:val="en-US" w:eastAsia="en-GB"/>
                <w14:ligatures w14:val="none"/>
              </w:rPr>
              <w:t xml:space="preserve"> para la banca," which outlines the step-by-step methodology for scenario selection and quantification within the stress-testing framework.</w:t>
            </w:r>
          </w:p>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9E9A88C" w:rsidR="00DC31BF" w:rsidRPr="00CF2E7C" w:rsidRDefault="00D854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3F3BEF4" w:rsidR="00DC31BF" w:rsidRPr="00CF2E7C" w:rsidRDefault="00D854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5D48903B" w:rsidR="0098226E" w:rsidRPr="00CF2E7C" w:rsidRDefault="00C372D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6BB85E64" w:rsidR="0098226E" w:rsidRPr="00CF2E7C" w:rsidRDefault="00C372DD" w:rsidP="00CF2E7C">
            <w:pPr>
              <w:textAlignment w:val="baseline"/>
              <w:rPr>
                <w:rFonts w:ascii="Calibri" w:eastAsia="Times New Roman" w:hAnsi="Calibri" w:cs="Calibri"/>
                <w:kern w:val="0"/>
                <w:lang w:eastAsia="en-GB"/>
                <w14:ligatures w14:val="none"/>
              </w:rPr>
            </w:pPr>
            <w:r w:rsidRPr="00C372DD">
              <w:rPr>
                <w:rFonts w:ascii="Calibri" w:eastAsia="Times New Roman" w:hAnsi="Calibri" w:cs="Calibri"/>
                <w:kern w:val="0"/>
                <w:lang w:eastAsia="en-GB"/>
                <w14:ligatures w14:val="none"/>
              </w:rPr>
              <w:t>Based on the information provided in the policy tool, the climate stress-testing or scenario analysis exercise is not conducted on a fixed, regular frequency such as annually or biennially</w:t>
            </w: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93A274D" w:rsidR="00F10A6E" w:rsidRPr="00CF2E7C" w:rsidRDefault="00C372D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57A5A866"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B893064" w14:textId="77777777" w:rsidR="00C372DD" w:rsidRPr="00C372DD" w:rsidRDefault="00C372DD" w:rsidP="002F1F17">
            <w:pPr>
              <w:jc w:val="both"/>
              <w:textAlignment w:val="baseline"/>
              <w:rPr>
                <w:rFonts w:ascii="Calibri" w:eastAsia="Times New Roman" w:hAnsi="Calibri" w:cs="Calibri"/>
                <w:kern w:val="0"/>
                <w:lang w:val="en-US" w:eastAsia="en-GB"/>
                <w14:ligatures w14:val="none"/>
              </w:rPr>
            </w:pPr>
            <w:r w:rsidRPr="00C372DD">
              <w:rPr>
                <w:rFonts w:ascii="Calibri" w:eastAsia="Times New Roman" w:hAnsi="Calibri" w:cs="Calibri"/>
                <w:kern w:val="0"/>
                <w:lang w:eastAsia="en-GB"/>
                <w14:ligatures w14:val="none"/>
              </w:rPr>
              <w:t>The time horizon considered for the scenario analysis or stress-testing exercise, as described in the section "</w:t>
            </w:r>
            <w:proofErr w:type="spellStart"/>
            <w:r w:rsidRPr="00C372DD">
              <w:rPr>
                <w:rFonts w:ascii="Calibri" w:eastAsia="Times New Roman" w:hAnsi="Calibri" w:cs="Calibri"/>
                <w:i/>
                <w:iCs/>
                <w:kern w:val="0"/>
                <w:lang w:eastAsia="en-GB"/>
                <w14:ligatures w14:val="none"/>
              </w:rPr>
              <w:t>Herramientas</w:t>
            </w:r>
            <w:proofErr w:type="spellEnd"/>
            <w:r w:rsidRPr="00C372DD">
              <w:rPr>
                <w:rFonts w:ascii="Calibri" w:eastAsia="Times New Roman" w:hAnsi="Calibri" w:cs="Calibri"/>
                <w:i/>
                <w:iCs/>
                <w:kern w:val="0"/>
                <w:lang w:eastAsia="en-GB"/>
                <w14:ligatures w14:val="none"/>
              </w:rPr>
              <w:t xml:space="preserve"> de </w:t>
            </w:r>
            <w:proofErr w:type="spellStart"/>
            <w:r w:rsidRPr="00C372DD">
              <w:rPr>
                <w:rFonts w:ascii="Calibri" w:eastAsia="Times New Roman" w:hAnsi="Calibri" w:cs="Calibri"/>
                <w:i/>
                <w:iCs/>
                <w:kern w:val="0"/>
                <w:lang w:eastAsia="en-GB"/>
                <w14:ligatures w14:val="none"/>
              </w:rPr>
              <w:t>medición</w:t>
            </w:r>
            <w:proofErr w:type="spellEnd"/>
            <w:r w:rsidRPr="00C372DD">
              <w:rPr>
                <w:rFonts w:ascii="Calibri" w:eastAsia="Times New Roman" w:hAnsi="Calibri" w:cs="Calibri"/>
                <w:i/>
                <w:iCs/>
                <w:kern w:val="0"/>
                <w:lang w:eastAsia="en-GB"/>
                <w14:ligatures w14:val="none"/>
              </w:rPr>
              <w:t xml:space="preserve"> y </w:t>
            </w:r>
            <w:proofErr w:type="spellStart"/>
            <w:r w:rsidRPr="00C372DD">
              <w:rPr>
                <w:rFonts w:ascii="Calibri" w:eastAsia="Times New Roman" w:hAnsi="Calibri" w:cs="Calibri"/>
                <w:i/>
                <w:iCs/>
                <w:kern w:val="0"/>
                <w:lang w:eastAsia="en-GB"/>
                <w14:ligatures w14:val="none"/>
              </w:rPr>
              <w:t>supervisión</w:t>
            </w:r>
            <w:proofErr w:type="spellEnd"/>
            <w:r w:rsidRPr="00C372DD">
              <w:rPr>
                <w:rFonts w:ascii="Calibri" w:eastAsia="Times New Roman" w:hAnsi="Calibri" w:cs="Calibri"/>
                <w:i/>
                <w:iCs/>
                <w:kern w:val="0"/>
                <w:lang w:eastAsia="en-GB"/>
                <w14:ligatures w14:val="none"/>
              </w:rPr>
              <w:t xml:space="preserve"> de </w:t>
            </w:r>
            <w:proofErr w:type="spellStart"/>
            <w:r w:rsidRPr="00C372DD">
              <w:rPr>
                <w:rFonts w:ascii="Calibri" w:eastAsia="Times New Roman" w:hAnsi="Calibri" w:cs="Calibri"/>
                <w:i/>
                <w:iCs/>
                <w:kern w:val="0"/>
                <w:lang w:eastAsia="en-GB"/>
                <w14:ligatures w14:val="none"/>
              </w:rPr>
              <w:t>riesgos</w:t>
            </w:r>
            <w:proofErr w:type="spellEnd"/>
            <w:r w:rsidRPr="00C372DD">
              <w:rPr>
                <w:rFonts w:ascii="Calibri" w:eastAsia="Times New Roman" w:hAnsi="Calibri" w:cs="Calibri"/>
                <w:i/>
                <w:iCs/>
                <w:kern w:val="0"/>
                <w:lang w:eastAsia="en-GB"/>
                <w14:ligatures w14:val="none"/>
              </w:rPr>
              <w:t xml:space="preserve"> </w:t>
            </w:r>
            <w:proofErr w:type="spellStart"/>
            <w:r w:rsidRPr="00C372DD">
              <w:rPr>
                <w:rFonts w:ascii="Calibri" w:eastAsia="Times New Roman" w:hAnsi="Calibri" w:cs="Calibri"/>
                <w:i/>
                <w:iCs/>
                <w:kern w:val="0"/>
                <w:lang w:eastAsia="en-GB"/>
                <w14:ligatures w14:val="none"/>
              </w:rPr>
              <w:t>climáticos</w:t>
            </w:r>
            <w:proofErr w:type="spellEnd"/>
            <w:r w:rsidRPr="00C372DD">
              <w:rPr>
                <w:rFonts w:ascii="Calibri" w:eastAsia="Times New Roman" w:hAnsi="Calibri" w:cs="Calibri"/>
                <w:i/>
                <w:iCs/>
                <w:kern w:val="0"/>
                <w:lang w:eastAsia="en-GB"/>
                <w14:ligatures w14:val="none"/>
              </w:rPr>
              <w:t xml:space="preserve"> y de la </w:t>
            </w:r>
            <w:proofErr w:type="spellStart"/>
            <w:r w:rsidRPr="00C372DD">
              <w:rPr>
                <w:rFonts w:ascii="Calibri" w:eastAsia="Times New Roman" w:hAnsi="Calibri" w:cs="Calibri"/>
                <w:i/>
                <w:iCs/>
                <w:kern w:val="0"/>
                <w:lang w:eastAsia="en-GB"/>
                <w14:ligatures w14:val="none"/>
              </w:rPr>
              <w:t>naturaleza</w:t>
            </w:r>
            <w:proofErr w:type="spellEnd"/>
            <w:r w:rsidRPr="00C372DD">
              <w:rPr>
                <w:rFonts w:ascii="Calibri" w:eastAsia="Times New Roman" w:hAnsi="Calibri" w:cs="Calibri"/>
                <w:kern w:val="0"/>
                <w:lang w:eastAsia="en-GB"/>
                <w14:ligatures w14:val="none"/>
              </w:rPr>
              <w:t>" and specifically in the subsection "</w:t>
            </w:r>
            <w:proofErr w:type="spellStart"/>
            <w:r w:rsidRPr="00C372DD">
              <w:rPr>
                <w:rFonts w:ascii="Calibri" w:eastAsia="Times New Roman" w:hAnsi="Calibri" w:cs="Calibri"/>
                <w:i/>
                <w:iCs/>
                <w:kern w:val="0"/>
                <w:lang w:eastAsia="en-GB"/>
                <w14:ligatures w14:val="none"/>
              </w:rPr>
              <w:t>Análisis</w:t>
            </w:r>
            <w:proofErr w:type="spellEnd"/>
            <w:r w:rsidRPr="00C372DD">
              <w:rPr>
                <w:rFonts w:ascii="Calibri" w:eastAsia="Times New Roman" w:hAnsi="Calibri" w:cs="Calibri"/>
                <w:i/>
                <w:iCs/>
                <w:kern w:val="0"/>
                <w:lang w:eastAsia="en-GB"/>
                <w14:ligatures w14:val="none"/>
              </w:rPr>
              <w:t xml:space="preserve"> </w:t>
            </w:r>
            <w:proofErr w:type="spellStart"/>
            <w:r w:rsidRPr="00C372DD">
              <w:rPr>
                <w:rFonts w:ascii="Calibri" w:eastAsia="Times New Roman" w:hAnsi="Calibri" w:cs="Calibri"/>
                <w:i/>
                <w:iCs/>
                <w:kern w:val="0"/>
                <w:lang w:eastAsia="en-GB"/>
                <w14:ligatures w14:val="none"/>
              </w:rPr>
              <w:t>cuantitativos</w:t>
            </w:r>
            <w:proofErr w:type="spellEnd"/>
            <w:r w:rsidRPr="00C372DD">
              <w:rPr>
                <w:rFonts w:ascii="Calibri" w:eastAsia="Times New Roman" w:hAnsi="Calibri" w:cs="Calibri"/>
                <w:i/>
                <w:iCs/>
                <w:kern w:val="0"/>
                <w:lang w:eastAsia="en-GB"/>
                <w14:ligatures w14:val="none"/>
              </w:rPr>
              <w:t xml:space="preserve"> </w:t>
            </w:r>
            <w:proofErr w:type="spellStart"/>
            <w:r w:rsidRPr="00C372DD">
              <w:rPr>
                <w:rFonts w:ascii="Calibri" w:eastAsia="Times New Roman" w:hAnsi="Calibri" w:cs="Calibri"/>
                <w:i/>
                <w:iCs/>
                <w:kern w:val="0"/>
                <w:lang w:eastAsia="en-GB"/>
                <w14:ligatures w14:val="none"/>
              </w:rPr>
              <w:t>prospectivos</w:t>
            </w:r>
            <w:proofErr w:type="spellEnd"/>
            <w:r w:rsidRPr="00C372DD">
              <w:rPr>
                <w:rFonts w:ascii="Calibri" w:eastAsia="Times New Roman" w:hAnsi="Calibri" w:cs="Calibri"/>
                <w:i/>
                <w:iCs/>
                <w:kern w:val="0"/>
                <w:lang w:eastAsia="en-GB"/>
                <w14:ligatures w14:val="none"/>
              </w:rPr>
              <w:t xml:space="preserve"> </w:t>
            </w:r>
            <w:proofErr w:type="spellStart"/>
            <w:r w:rsidRPr="00C372DD">
              <w:rPr>
                <w:rFonts w:ascii="Calibri" w:eastAsia="Times New Roman" w:hAnsi="Calibri" w:cs="Calibri"/>
                <w:i/>
                <w:iCs/>
                <w:kern w:val="0"/>
                <w:lang w:eastAsia="en-GB"/>
                <w14:ligatures w14:val="none"/>
              </w:rPr>
              <w:t>realizados</w:t>
            </w:r>
            <w:proofErr w:type="spellEnd"/>
            <w:r w:rsidRPr="00C372DD">
              <w:rPr>
                <w:rFonts w:ascii="Calibri" w:eastAsia="Times New Roman" w:hAnsi="Calibri" w:cs="Calibri"/>
                <w:i/>
                <w:iCs/>
                <w:kern w:val="0"/>
                <w:lang w:eastAsia="en-GB"/>
                <w14:ligatures w14:val="none"/>
              </w:rPr>
              <w:t xml:space="preserve"> para la banca</w:t>
            </w:r>
            <w:r w:rsidRPr="00C372DD">
              <w:rPr>
                <w:rFonts w:ascii="Calibri" w:eastAsia="Times New Roman" w:hAnsi="Calibri" w:cs="Calibri"/>
                <w:kern w:val="0"/>
                <w:lang w:eastAsia="en-GB"/>
                <w14:ligatures w14:val="none"/>
              </w:rPr>
              <w:t xml:space="preserve">," extends beyond the typical short-term focus of traditional financial risk models. </w:t>
            </w:r>
            <w:r w:rsidRPr="00C372DD">
              <w:rPr>
                <w:rFonts w:ascii="Calibri" w:eastAsia="Times New Roman" w:hAnsi="Calibri" w:cs="Calibri"/>
                <w:kern w:val="0"/>
                <w:lang w:val="en-US" w:eastAsia="en-GB"/>
                <w14:ligatures w14:val="none"/>
              </w:rPr>
              <w:t xml:space="preserve">The methodology acknowledges that climate-related risks, both physical and transition, may materialize over medium to long-term periods—often spanning several years to decades—rather than within the usual one-year horizon of standard prudential requirements. </w:t>
            </w:r>
          </w:p>
          <w:p w14:paraId="7BF7E5E9" w14:textId="65E9F5D7" w:rsidR="00F10A6E" w:rsidRPr="00C372DD" w:rsidRDefault="00C372DD" w:rsidP="002F1F17">
            <w:pPr>
              <w:jc w:val="both"/>
              <w:textAlignment w:val="baseline"/>
              <w:rPr>
                <w:rFonts w:ascii="Calibri" w:eastAsia="Times New Roman" w:hAnsi="Calibri" w:cs="Calibri"/>
                <w:kern w:val="0"/>
                <w:lang w:val="en-US" w:eastAsia="en-GB"/>
                <w14:ligatures w14:val="none"/>
              </w:rPr>
            </w:pPr>
            <w:r w:rsidRPr="00C372DD">
              <w:rPr>
                <w:rFonts w:ascii="Calibri" w:eastAsia="Times New Roman" w:hAnsi="Calibri" w:cs="Calibri"/>
                <w:kern w:val="0"/>
                <w:lang w:val="en-US" w:eastAsia="en-GB"/>
                <w14:ligatures w14:val="none"/>
              </w:rPr>
              <w:t>This is due to the inherent uncertainty and non-linearity of climate events and policy transitions, which require scenario analysis to capture impacts over extended timeframes that align with national climate targets (such as 2030 or 2050) and the gradual implementation of mitigation and adaptation policies. Therefore, the stress-testing exercises are designed to evaluate the resilience of financial institutions under scenarios that unfold over medium and long-term horizons, rather than being limited to the short term.</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0D52C355" w:rsidR="00F26296" w:rsidRPr="00CF2E7C" w:rsidRDefault="002F1F1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1972269C" w:rsidR="00F26296" w:rsidRPr="00CF2E7C" w:rsidRDefault="002F1F17" w:rsidP="002F1F17">
            <w:pPr>
              <w:jc w:val="both"/>
              <w:textAlignment w:val="baseline"/>
              <w:rPr>
                <w:rFonts w:ascii="Calibri" w:eastAsia="Times New Roman" w:hAnsi="Calibri" w:cs="Calibri"/>
                <w:kern w:val="0"/>
                <w:lang w:eastAsia="en-GB"/>
                <w14:ligatures w14:val="none"/>
              </w:rPr>
            </w:pPr>
            <w:r w:rsidRPr="002F1F17">
              <w:rPr>
                <w:rFonts w:ascii="Calibri" w:eastAsia="Times New Roman" w:hAnsi="Calibri" w:cs="Calibri"/>
                <w:kern w:val="0"/>
                <w:lang w:eastAsia="en-GB"/>
                <w14:ligatures w14:val="none"/>
              </w:rPr>
              <w:t>These exercises help financial institutions and supervisors understand the channels of transmission of climate risks, identify exposures and vulnerabilities, and evaluate the potential financial impact of physical and transition risks on the stability of the financial system. The findings are used to enable dialogue with financial entities regarding their exposures and vulnerabilities, and to support the development of internal processes, guidelines, and supervisory expectations for integrating climate risks into risk management and strategic decision-making</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447685B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F1F17">
              <w:rPr>
                <w:rFonts w:ascii="Calibri" w:eastAsia="Times New Roman" w:hAnsi="Calibri" w:cs="Calibri"/>
                <w:kern w:val="0"/>
                <w:lang w:eastAsia="en-GB"/>
                <w14:ligatures w14:val="none"/>
              </w:rPr>
              <w:t>X</w:t>
            </w:r>
          </w:p>
        </w:tc>
      </w:tr>
      <w:tr w:rsidR="00F26296" w:rsidRPr="009C4D10" w14:paraId="3074A62C" w14:textId="77777777" w:rsidTr="002F1F17">
        <w:trPr>
          <w:trHeight w:val="8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11F4CD0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F1F17">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776B0532" w:rsidR="00F26296" w:rsidRPr="00CF2E7C" w:rsidRDefault="002F1F1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5FB3461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F1F17">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B942AE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F1F17">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441283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86B58">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E3FD91A" w:rsidR="00B114FD" w:rsidRPr="00CF2E7C" w:rsidRDefault="002F1F1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7278C955" w:rsidR="00B114FD" w:rsidRPr="00CF2E7C" w:rsidRDefault="002F1F1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3C6F3AE0" w:rsidR="00702413" w:rsidRPr="009C4D10" w:rsidRDefault="002F1F1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732B97CC" w:rsidR="00702413" w:rsidRPr="009C4D10" w:rsidRDefault="00B7773A" w:rsidP="00CF2E7C">
            <w:pPr>
              <w:textAlignment w:val="baseline"/>
              <w:rPr>
                <w:rFonts w:eastAsia="Times New Roman" w:cstheme="minorHAnsi"/>
                <w:kern w:val="0"/>
                <w:lang w:eastAsia="en-GB"/>
                <w14:ligatures w14:val="none"/>
              </w:rPr>
            </w:pPr>
            <w:r w:rsidRPr="00B7773A">
              <w:rPr>
                <w:rFonts w:eastAsia="Times New Roman" w:cstheme="minorHAnsi"/>
                <w:kern w:val="0"/>
                <w:lang w:eastAsia="en-GB"/>
                <w14:ligatures w14:val="none"/>
              </w:rPr>
              <w:t>One of the key barriers in implementing the prudential policy tool for climate-related financial risk management is the inherent uncertainty and complexity associated with climate risks, particularly regarding their long-term horizon and non-linear nature, which current prudential frameworks—typically designed for short-term risks—struggle to capture effectively.</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lastRenderedPageBreak/>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5549A9F8" w:rsidR="00FE0EA5" w:rsidRPr="009C4D10" w:rsidRDefault="00FE0EA5" w:rsidP="00CF2E7C">
            <w:pPr>
              <w:rPr>
                <w:rFonts w:cstheme="minorHAnsi"/>
              </w:rPr>
            </w:pPr>
            <w:r w:rsidRPr="009C4D10">
              <w:rPr>
                <w:rFonts w:cstheme="minorHAnsi"/>
                <w:lang w:val="en-SG"/>
              </w:rPr>
              <w:t> </w:t>
            </w:r>
            <w:r w:rsidRPr="009C4D10">
              <w:rPr>
                <w:rFonts w:cstheme="minorHAnsi"/>
              </w:rPr>
              <w:t> </w:t>
            </w:r>
            <w:r w:rsidR="002F1F17">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5AB8EA95" w:rsidR="00FE0EA5" w:rsidRPr="009C4D10" w:rsidRDefault="00FE0EA5" w:rsidP="00CF2E7C">
            <w:pPr>
              <w:rPr>
                <w:rFonts w:cstheme="minorHAnsi"/>
              </w:rPr>
            </w:pPr>
            <w:r w:rsidRPr="009C4D10">
              <w:rPr>
                <w:rFonts w:cstheme="minorHAnsi"/>
                <w:lang w:val="en-SG"/>
              </w:rPr>
              <w:t> </w:t>
            </w:r>
            <w:r w:rsidRPr="009C4D10">
              <w:rPr>
                <w:rFonts w:cstheme="minorHAnsi"/>
              </w:rPr>
              <w:t> </w:t>
            </w:r>
            <w:r w:rsidR="002F1F17">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AC10A66" w:rsidR="00FE0EA5" w:rsidRPr="009C4D10" w:rsidRDefault="00FE0EA5" w:rsidP="00CF2E7C">
            <w:pPr>
              <w:rPr>
                <w:rFonts w:cstheme="minorHAnsi"/>
              </w:rPr>
            </w:pPr>
            <w:r w:rsidRPr="009C4D10">
              <w:rPr>
                <w:rFonts w:cstheme="minorHAnsi"/>
                <w:lang w:val="en-SG"/>
              </w:rPr>
              <w:t> </w:t>
            </w:r>
            <w:r w:rsidRPr="009C4D10">
              <w:rPr>
                <w:rFonts w:cstheme="minorHAnsi"/>
              </w:rPr>
              <w:t> </w:t>
            </w:r>
            <w:r w:rsidR="002F1F17">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4050E72A" w:rsidR="00FE0EA5" w:rsidRPr="009C4D10" w:rsidRDefault="00FE0EA5" w:rsidP="00CF2E7C">
            <w:pPr>
              <w:rPr>
                <w:rFonts w:cstheme="minorHAnsi"/>
              </w:rPr>
            </w:pPr>
            <w:r w:rsidRPr="009C4D10">
              <w:rPr>
                <w:rFonts w:cstheme="minorHAnsi"/>
                <w:lang w:val="en-SG"/>
              </w:rPr>
              <w:t> </w:t>
            </w:r>
            <w:r w:rsidRPr="009C4D10">
              <w:rPr>
                <w:rFonts w:cstheme="minorHAnsi"/>
              </w:rPr>
              <w:t> </w:t>
            </w:r>
            <w:r w:rsidR="002F1F17">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030C35F7" w:rsidR="00FE0EA5" w:rsidRPr="009C4D10" w:rsidRDefault="00FE0EA5" w:rsidP="00CF2E7C">
            <w:pPr>
              <w:rPr>
                <w:rFonts w:cstheme="minorHAnsi"/>
              </w:rPr>
            </w:pPr>
            <w:r w:rsidRPr="009C4D10">
              <w:rPr>
                <w:rFonts w:cstheme="minorHAnsi"/>
                <w:lang w:val="en-SG"/>
              </w:rPr>
              <w:t> </w:t>
            </w:r>
            <w:r w:rsidRPr="009C4D10">
              <w:rPr>
                <w:rFonts w:cstheme="minorHAnsi"/>
              </w:rPr>
              <w:t> </w:t>
            </w:r>
            <w:r w:rsidR="002F1F17">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51D965D9"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067F046C" w:rsidR="00FE0EA5" w:rsidRPr="009C4D10" w:rsidRDefault="00FE0EA5" w:rsidP="00CF2E7C">
            <w:pPr>
              <w:rPr>
                <w:rFonts w:cstheme="minorHAnsi"/>
              </w:rPr>
            </w:pPr>
            <w:r w:rsidRPr="009C4D10">
              <w:rPr>
                <w:rFonts w:cstheme="minorHAnsi"/>
              </w:rPr>
              <w:t>  </w:t>
            </w:r>
            <w:r w:rsidR="002F1F17">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1C2512A9"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21CCDB5" w:rsidR="00FE0EA5" w:rsidRPr="009C4D10" w:rsidRDefault="00FE0EA5" w:rsidP="00CF2E7C">
            <w:pPr>
              <w:rPr>
                <w:rFonts w:cstheme="minorHAnsi"/>
              </w:rPr>
            </w:pPr>
            <w:r w:rsidRPr="009C4D10">
              <w:rPr>
                <w:rFonts w:cstheme="minorHAnsi"/>
                <w:lang w:val="en-SG"/>
              </w:rPr>
              <w:t> </w:t>
            </w:r>
            <w:r w:rsidRPr="009C4D10">
              <w:rPr>
                <w:rFonts w:cstheme="minorHAnsi"/>
              </w:rPr>
              <w:t> </w:t>
            </w:r>
            <w:r w:rsidR="00350C10">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7435A4" w14:textId="77777777" w:rsidR="005E143B" w:rsidRDefault="005E143B" w:rsidP="00874E39">
      <w:r>
        <w:separator/>
      </w:r>
    </w:p>
  </w:endnote>
  <w:endnote w:type="continuationSeparator" w:id="0">
    <w:p w14:paraId="65192FC7" w14:textId="77777777" w:rsidR="005E143B" w:rsidRDefault="005E143B" w:rsidP="00874E39">
      <w:r>
        <w:continuationSeparator/>
      </w:r>
    </w:p>
  </w:endnote>
  <w:endnote w:type="continuationNotice" w:id="1">
    <w:p w14:paraId="58CFAA4E" w14:textId="77777777" w:rsidR="005E143B" w:rsidRDefault="005E143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5B79B1" w14:textId="77777777" w:rsidR="005E143B" w:rsidRDefault="005E143B" w:rsidP="00874E39">
      <w:r>
        <w:separator/>
      </w:r>
    </w:p>
  </w:footnote>
  <w:footnote w:type="continuationSeparator" w:id="0">
    <w:p w14:paraId="7EFDE0CD" w14:textId="77777777" w:rsidR="005E143B" w:rsidRDefault="005E143B" w:rsidP="00874E39">
      <w:r>
        <w:continuationSeparator/>
      </w:r>
    </w:p>
  </w:footnote>
  <w:footnote w:type="continuationNotice" w:id="1">
    <w:p w14:paraId="3839172F" w14:textId="77777777" w:rsidR="005E143B" w:rsidRDefault="005E143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125"/>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48F7"/>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B3"/>
    <w:rsid w:val="002E5ACB"/>
    <w:rsid w:val="002E6DEC"/>
    <w:rsid w:val="002E7BF5"/>
    <w:rsid w:val="002F0752"/>
    <w:rsid w:val="002F1ABB"/>
    <w:rsid w:val="002F1F17"/>
    <w:rsid w:val="002F359D"/>
    <w:rsid w:val="002F3FDE"/>
    <w:rsid w:val="002F435A"/>
    <w:rsid w:val="002F4EC2"/>
    <w:rsid w:val="002F51F3"/>
    <w:rsid w:val="002F5320"/>
    <w:rsid w:val="002F5D09"/>
    <w:rsid w:val="002F604F"/>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0C10"/>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A4B"/>
    <w:rsid w:val="00393BA9"/>
    <w:rsid w:val="0039625A"/>
    <w:rsid w:val="003A0C73"/>
    <w:rsid w:val="003A144F"/>
    <w:rsid w:val="003A2976"/>
    <w:rsid w:val="003A2E5E"/>
    <w:rsid w:val="003A4A9F"/>
    <w:rsid w:val="003A52E3"/>
    <w:rsid w:val="003A5B03"/>
    <w:rsid w:val="003A69C8"/>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195E"/>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0E53"/>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6E9D"/>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63C"/>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3D7F"/>
    <w:rsid w:val="005C4420"/>
    <w:rsid w:val="005C5681"/>
    <w:rsid w:val="005C6A1D"/>
    <w:rsid w:val="005C765C"/>
    <w:rsid w:val="005C7DF6"/>
    <w:rsid w:val="005D02C9"/>
    <w:rsid w:val="005D55BE"/>
    <w:rsid w:val="005D7CD4"/>
    <w:rsid w:val="005E0296"/>
    <w:rsid w:val="005E143B"/>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BF6"/>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F22"/>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3A7"/>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6535"/>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6CF"/>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66D"/>
    <w:rsid w:val="00766C48"/>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CA6"/>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52C"/>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45AA"/>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231"/>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317"/>
    <w:rsid w:val="008D29A7"/>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675"/>
    <w:rsid w:val="00940E65"/>
    <w:rsid w:val="0094115B"/>
    <w:rsid w:val="00946255"/>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86B58"/>
    <w:rsid w:val="00991124"/>
    <w:rsid w:val="0099165E"/>
    <w:rsid w:val="009920B0"/>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7CFC"/>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D08"/>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0F53"/>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6FF7"/>
    <w:rsid w:val="00B610C2"/>
    <w:rsid w:val="00B61B6F"/>
    <w:rsid w:val="00B61D29"/>
    <w:rsid w:val="00B62F6C"/>
    <w:rsid w:val="00B634F2"/>
    <w:rsid w:val="00B65F11"/>
    <w:rsid w:val="00B673AC"/>
    <w:rsid w:val="00B6777F"/>
    <w:rsid w:val="00B720BA"/>
    <w:rsid w:val="00B733B0"/>
    <w:rsid w:val="00B745B3"/>
    <w:rsid w:val="00B74F7D"/>
    <w:rsid w:val="00B76EAD"/>
    <w:rsid w:val="00B7773A"/>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2E36"/>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2DD"/>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4A3F"/>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6FAA"/>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22F9"/>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A23"/>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5590"/>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4A9"/>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25FC"/>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1B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59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9B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FDF"/>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2E0B"/>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5F1B"/>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512"/>
    <w:rsid w:val="00F3642C"/>
    <w:rsid w:val="00F3654A"/>
    <w:rsid w:val="00F368E3"/>
    <w:rsid w:val="00F36C5B"/>
    <w:rsid w:val="00F408F6"/>
    <w:rsid w:val="00F40E78"/>
    <w:rsid w:val="00F41680"/>
    <w:rsid w:val="00F41EE0"/>
    <w:rsid w:val="00F42C39"/>
    <w:rsid w:val="00F46EDD"/>
    <w:rsid w:val="00F511CC"/>
    <w:rsid w:val="00F51334"/>
    <w:rsid w:val="00F5136A"/>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1EEC"/>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1AB"/>
    <w:rsid w:val="00FC0689"/>
    <w:rsid w:val="00FC13F0"/>
    <w:rsid w:val="00FC1EDC"/>
    <w:rsid w:val="00FC337B"/>
    <w:rsid w:val="00FC5AA7"/>
    <w:rsid w:val="00FC6E48"/>
    <w:rsid w:val="00FD3587"/>
    <w:rsid w:val="00FD42FF"/>
    <w:rsid w:val="00FD4B6C"/>
    <w:rsid w:val="00FD5199"/>
    <w:rsid w:val="00FD778F"/>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03E"/>
    <w:rsid w:val="00FE7713"/>
    <w:rsid w:val="00FE7C66"/>
    <w:rsid w:val="00FE7FA5"/>
    <w:rsid w:val="00FE94C6"/>
    <w:rsid w:val="00FF3644"/>
    <w:rsid w:val="00FF459B"/>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D03A7"/>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077492">
      <w:bodyDiv w:val="1"/>
      <w:marLeft w:val="0"/>
      <w:marRight w:val="0"/>
      <w:marTop w:val="0"/>
      <w:marBottom w:val="0"/>
      <w:divBdr>
        <w:top w:val="none" w:sz="0" w:space="0" w:color="auto"/>
        <w:left w:val="none" w:sz="0" w:space="0" w:color="auto"/>
        <w:bottom w:val="none" w:sz="0" w:space="0" w:color="auto"/>
        <w:right w:val="none" w:sz="0" w:space="0" w:color="auto"/>
      </w:divBdr>
    </w:div>
    <w:div w:id="149904717">
      <w:bodyDiv w:val="1"/>
      <w:marLeft w:val="0"/>
      <w:marRight w:val="0"/>
      <w:marTop w:val="0"/>
      <w:marBottom w:val="0"/>
      <w:divBdr>
        <w:top w:val="none" w:sz="0" w:space="0" w:color="auto"/>
        <w:left w:val="none" w:sz="0" w:space="0" w:color="auto"/>
        <w:bottom w:val="none" w:sz="0" w:space="0" w:color="auto"/>
        <w:right w:val="none" w:sz="0" w:space="0" w:color="auto"/>
      </w:divBdr>
    </w:div>
    <w:div w:id="223227324">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62370175">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413473779">
      <w:bodyDiv w:val="1"/>
      <w:marLeft w:val="0"/>
      <w:marRight w:val="0"/>
      <w:marTop w:val="0"/>
      <w:marBottom w:val="0"/>
      <w:divBdr>
        <w:top w:val="none" w:sz="0" w:space="0" w:color="auto"/>
        <w:left w:val="none" w:sz="0" w:space="0" w:color="auto"/>
        <w:bottom w:val="none" w:sz="0" w:space="0" w:color="auto"/>
        <w:right w:val="none" w:sz="0" w:space="0" w:color="auto"/>
      </w:divBdr>
    </w:div>
    <w:div w:id="42226199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0143095">
      <w:bodyDiv w:val="1"/>
      <w:marLeft w:val="0"/>
      <w:marRight w:val="0"/>
      <w:marTop w:val="0"/>
      <w:marBottom w:val="0"/>
      <w:divBdr>
        <w:top w:val="none" w:sz="0" w:space="0" w:color="auto"/>
        <w:left w:val="none" w:sz="0" w:space="0" w:color="auto"/>
        <w:bottom w:val="none" w:sz="0" w:space="0" w:color="auto"/>
        <w:right w:val="none" w:sz="0" w:space="0" w:color="auto"/>
      </w:divBdr>
      <w:divsChild>
        <w:div w:id="1535268107">
          <w:marLeft w:val="0"/>
          <w:marRight w:val="0"/>
          <w:marTop w:val="0"/>
          <w:marBottom w:val="0"/>
          <w:divBdr>
            <w:top w:val="none" w:sz="0" w:space="0" w:color="auto"/>
            <w:left w:val="none" w:sz="0" w:space="0" w:color="auto"/>
            <w:bottom w:val="none" w:sz="0" w:space="0" w:color="auto"/>
            <w:right w:val="none" w:sz="0" w:space="0" w:color="auto"/>
          </w:divBdr>
          <w:divsChild>
            <w:div w:id="1456287569">
              <w:marLeft w:val="0"/>
              <w:marRight w:val="0"/>
              <w:marTop w:val="0"/>
              <w:marBottom w:val="0"/>
              <w:divBdr>
                <w:top w:val="none" w:sz="0" w:space="0" w:color="auto"/>
                <w:left w:val="none" w:sz="0" w:space="0" w:color="auto"/>
                <w:bottom w:val="none" w:sz="0" w:space="0" w:color="auto"/>
                <w:right w:val="none" w:sz="0" w:space="0" w:color="auto"/>
              </w:divBdr>
              <w:divsChild>
                <w:div w:id="450369256">
                  <w:marLeft w:val="0"/>
                  <w:marRight w:val="0"/>
                  <w:marTop w:val="0"/>
                  <w:marBottom w:val="0"/>
                  <w:divBdr>
                    <w:top w:val="none" w:sz="0" w:space="0" w:color="auto"/>
                    <w:left w:val="none" w:sz="0" w:space="0" w:color="auto"/>
                    <w:bottom w:val="none" w:sz="0" w:space="0" w:color="auto"/>
                    <w:right w:val="none" w:sz="0" w:space="0" w:color="auto"/>
                  </w:divBdr>
                  <w:divsChild>
                    <w:div w:id="699403169">
                      <w:marLeft w:val="0"/>
                      <w:marRight w:val="0"/>
                      <w:marTop w:val="0"/>
                      <w:marBottom w:val="0"/>
                      <w:divBdr>
                        <w:top w:val="none" w:sz="0" w:space="0" w:color="auto"/>
                        <w:left w:val="none" w:sz="0" w:space="0" w:color="auto"/>
                        <w:bottom w:val="none" w:sz="0" w:space="0" w:color="auto"/>
                        <w:right w:val="none" w:sz="0" w:space="0" w:color="auto"/>
                      </w:divBdr>
                      <w:divsChild>
                        <w:div w:id="822356202">
                          <w:marLeft w:val="0"/>
                          <w:marRight w:val="0"/>
                          <w:marTop w:val="0"/>
                          <w:marBottom w:val="0"/>
                          <w:divBdr>
                            <w:top w:val="none" w:sz="0" w:space="0" w:color="auto"/>
                            <w:left w:val="none" w:sz="0" w:space="0" w:color="auto"/>
                            <w:bottom w:val="none" w:sz="0" w:space="0" w:color="auto"/>
                            <w:right w:val="none" w:sz="0" w:space="0" w:color="auto"/>
                          </w:divBdr>
                          <w:divsChild>
                            <w:div w:id="732434344">
                              <w:marLeft w:val="0"/>
                              <w:marRight w:val="0"/>
                              <w:marTop w:val="0"/>
                              <w:marBottom w:val="0"/>
                              <w:divBdr>
                                <w:top w:val="none" w:sz="0" w:space="0" w:color="auto"/>
                                <w:left w:val="none" w:sz="0" w:space="0" w:color="auto"/>
                                <w:bottom w:val="none" w:sz="0" w:space="0" w:color="auto"/>
                                <w:right w:val="none" w:sz="0" w:space="0" w:color="auto"/>
                              </w:divBdr>
                              <w:divsChild>
                                <w:div w:id="1273632437">
                                  <w:marLeft w:val="0"/>
                                  <w:marRight w:val="0"/>
                                  <w:marTop w:val="0"/>
                                  <w:marBottom w:val="0"/>
                                  <w:divBdr>
                                    <w:top w:val="none" w:sz="0" w:space="0" w:color="auto"/>
                                    <w:left w:val="none" w:sz="0" w:space="0" w:color="auto"/>
                                    <w:bottom w:val="none" w:sz="0" w:space="0" w:color="auto"/>
                                    <w:right w:val="none" w:sz="0" w:space="0" w:color="auto"/>
                                  </w:divBdr>
                                  <w:divsChild>
                                    <w:div w:id="1320302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8246125">
                      <w:marLeft w:val="0"/>
                      <w:marRight w:val="0"/>
                      <w:marTop w:val="0"/>
                      <w:marBottom w:val="0"/>
                      <w:divBdr>
                        <w:top w:val="none" w:sz="0" w:space="0" w:color="auto"/>
                        <w:left w:val="none" w:sz="0" w:space="0" w:color="auto"/>
                        <w:bottom w:val="none" w:sz="0" w:space="0" w:color="auto"/>
                        <w:right w:val="none" w:sz="0" w:space="0" w:color="auto"/>
                      </w:divBdr>
                      <w:divsChild>
                        <w:div w:id="928662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1498148">
      <w:bodyDiv w:val="1"/>
      <w:marLeft w:val="0"/>
      <w:marRight w:val="0"/>
      <w:marTop w:val="0"/>
      <w:marBottom w:val="0"/>
      <w:divBdr>
        <w:top w:val="none" w:sz="0" w:space="0" w:color="auto"/>
        <w:left w:val="none" w:sz="0" w:space="0" w:color="auto"/>
        <w:bottom w:val="none" w:sz="0" w:space="0" w:color="auto"/>
        <w:right w:val="none" w:sz="0" w:space="0" w:color="auto"/>
      </w:divBdr>
    </w:div>
    <w:div w:id="664014238">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9149306">
      <w:bodyDiv w:val="1"/>
      <w:marLeft w:val="0"/>
      <w:marRight w:val="0"/>
      <w:marTop w:val="0"/>
      <w:marBottom w:val="0"/>
      <w:divBdr>
        <w:top w:val="none" w:sz="0" w:space="0" w:color="auto"/>
        <w:left w:val="none" w:sz="0" w:space="0" w:color="auto"/>
        <w:bottom w:val="none" w:sz="0" w:space="0" w:color="auto"/>
        <w:right w:val="none" w:sz="0" w:space="0" w:color="auto"/>
      </w:divBdr>
      <w:divsChild>
        <w:div w:id="1747802249">
          <w:marLeft w:val="0"/>
          <w:marRight w:val="0"/>
          <w:marTop w:val="0"/>
          <w:marBottom w:val="0"/>
          <w:divBdr>
            <w:top w:val="none" w:sz="0" w:space="0" w:color="auto"/>
            <w:left w:val="none" w:sz="0" w:space="0" w:color="auto"/>
            <w:bottom w:val="none" w:sz="0" w:space="0" w:color="auto"/>
            <w:right w:val="none" w:sz="0" w:space="0" w:color="auto"/>
          </w:divBdr>
          <w:divsChild>
            <w:div w:id="463693694">
              <w:marLeft w:val="0"/>
              <w:marRight w:val="0"/>
              <w:marTop w:val="0"/>
              <w:marBottom w:val="0"/>
              <w:divBdr>
                <w:top w:val="none" w:sz="0" w:space="0" w:color="auto"/>
                <w:left w:val="none" w:sz="0" w:space="0" w:color="auto"/>
                <w:bottom w:val="none" w:sz="0" w:space="0" w:color="auto"/>
                <w:right w:val="none" w:sz="0" w:space="0" w:color="auto"/>
              </w:divBdr>
              <w:divsChild>
                <w:div w:id="1906993637">
                  <w:marLeft w:val="0"/>
                  <w:marRight w:val="0"/>
                  <w:marTop w:val="0"/>
                  <w:marBottom w:val="0"/>
                  <w:divBdr>
                    <w:top w:val="none" w:sz="0" w:space="0" w:color="auto"/>
                    <w:left w:val="none" w:sz="0" w:space="0" w:color="auto"/>
                    <w:bottom w:val="none" w:sz="0" w:space="0" w:color="auto"/>
                    <w:right w:val="none" w:sz="0" w:space="0" w:color="auto"/>
                  </w:divBdr>
                  <w:divsChild>
                    <w:div w:id="1146552743">
                      <w:marLeft w:val="0"/>
                      <w:marRight w:val="0"/>
                      <w:marTop w:val="0"/>
                      <w:marBottom w:val="0"/>
                      <w:divBdr>
                        <w:top w:val="none" w:sz="0" w:space="0" w:color="auto"/>
                        <w:left w:val="none" w:sz="0" w:space="0" w:color="auto"/>
                        <w:bottom w:val="none" w:sz="0" w:space="0" w:color="auto"/>
                        <w:right w:val="none" w:sz="0" w:space="0" w:color="auto"/>
                      </w:divBdr>
                      <w:divsChild>
                        <w:div w:id="271591345">
                          <w:marLeft w:val="0"/>
                          <w:marRight w:val="0"/>
                          <w:marTop w:val="0"/>
                          <w:marBottom w:val="0"/>
                          <w:divBdr>
                            <w:top w:val="none" w:sz="0" w:space="0" w:color="auto"/>
                            <w:left w:val="none" w:sz="0" w:space="0" w:color="auto"/>
                            <w:bottom w:val="none" w:sz="0" w:space="0" w:color="auto"/>
                            <w:right w:val="none" w:sz="0" w:space="0" w:color="auto"/>
                          </w:divBdr>
                          <w:divsChild>
                            <w:div w:id="540097947">
                              <w:marLeft w:val="0"/>
                              <w:marRight w:val="0"/>
                              <w:marTop w:val="0"/>
                              <w:marBottom w:val="0"/>
                              <w:divBdr>
                                <w:top w:val="none" w:sz="0" w:space="0" w:color="auto"/>
                                <w:left w:val="none" w:sz="0" w:space="0" w:color="auto"/>
                                <w:bottom w:val="none" w:sz="0" w:space="0" w:color="auto"/>
                                <w:right w:val="none" w:sz="0" w:space="0" w:color="auto"/>
                              </w:divBdr>
                              <w:divsChild>
                                <w:div w:id="1053583251">
                                  <w:marLeft w:val="0"/>
                                  <w:marRight w:val="0"/>
                                  <w:marTop w:val="0"/>
                                  <w:marBottom w:val="0"/>
                                  <w:divBdr>
                                    <w:top w:val="none" w:sz="0" w:space="0" w:color="auto"/>
                                    <w:left w:val="none" w:sz="0" w:space="0" w:color="auto"/>
                                    <w:bottom w:val="none" w:sz="0" w:space="0" w:color="auto"/>
                                    <w:right w:val="none" w:sz="0" w:space="0" w:color="auto"/>
                                  </w:divBdr>
                                  <w:divsChild>
                                    <w:div w:id="60635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5263113">
      <w:bodyDiv w:val="1"/>
      <w:marLeft w:val="0"/>
      <w:marRight w:val="0"/>
      <w:marTop w:val="0"/>
      <w:marBottom w:val="0"/>
      <w:divBdr>
        <w:top w:val="none" w:sz="0" w:space="0" w:color="auto"/>
        <w:left w:val="none" w:sz="0" w:space="0" w:color="auto"/>
        <w:bottom w:val="none" w:sz="0" w:space="0" w:color="auto"/>
        <w:right w:val="none" w:sz="0" w:space="0" w:color="auto"/>
      </w:divBdr>
    </w:div>
    <w:div w:id="850222866">
      <w:bodyDiv w:val="1"/>
      <w:marLeft w:val="0"/>
      <w:marRight w:val="0"/>
      <w:marTop w:val="0"/>
      <w:marBottom w:val="0"/>
      <w:divBdr>
        <w:top w:val="none" w:sz="0" w:space="0" w:color="auto"/>
        <w:left w:val="none" w:sz="0" w:space="0" w:color="auto"/>
        <w:bottom w:val="none" w:sz="0" w:space="0" w:color="auto"/>
        <w:right w:val="none" w:sz="0" w:space="0" w:color="auto"/>
      </w:divBdr>
    </w:div>
    <w:div w:id="891228761">
      <w:bodyDiv w:val="1"/>
      <w:marLeft w:val="0"/>
      <w:marRight w:val="0"/>
      <w:marTop w:val="0"/>
      <w:marBottom w:val="0"/>
      <w:divBdr>
        <w:top w:val="none" w:sz="0" w:space="0" w:color="auto"/>
        <w:left w:val="none" w:sz="0" w:space="0" w:color="auto"/>
        <w:bottom w:val="none" w:sz="0" w:space="0" w:color="auto"/>
        <w:right w:val="none" w:sz="0" w:space="0" w:color="auto"/>
      </w:divBdr>
    </w:div>
    <w:div w:id="1046442392">
      <w:bodyDiv w:val="1"/>
      <w:marLeft w:val="0"/>
      <w:marRight w:val="0"/>
      <w:marTop w:val="0"/>
      <w:marBottom w:val="0"/>
      <w:divBdr>
        <w:top w:val="none" w:sz="0" w:space="0" w:color="auto"/>
        <w:left w:val="none" w:sz="0" w:space="0" w:color="auto"/>
        <w:bottom w:val="none" w:sz="0" w:space="0" w:color="auto"/>
        <w:right w:val="none" w:sz="0" w:space="0" w:color="auto"/>
      </w:divBdr>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055856513">
      <w:bodyDiv w:val="1"/>
      <w:marLeft w:val="0"/>
      <w:marRight w:val="0"/>
      <w:marTop w:val="0"/>
      <w:marBottom w:val="0"/>
      <w:divBdr>
        <w:top w:val="none" w:sz="0" w:space="0" w:color="auto"/>
        <w:left w:val="none" w:sz="0" w:space="0" w:color="auto"/>
        <w:bottom w:val="none" w:sz="0" w:space="0" w:color="auto"/>
        <w:right w:val="none" w:sz="0" w:space="0" w:color="auto"/>
      </w:divBdr>
      <w:divsChild>
        <w:div w:id="1299149100">
          <w:marLeft w:val="0"/>
          <w:marRight w:val="0"/>
          <w:marTop w:val="0"/>
          <w:marBottom w:val="0"/>
          <w:divBdr>
            <w:top w:val="none" w:sz="0" w:space="0" w:color="auto"/>
            <w:left w:val="none" w:sz="0" w:space="0" w:color="auto"/>
            <w:bottom w:val="none" w:sz="0" w:space="0" w:color="auto"/>
            <w:right w:val="none" w:sz="0" w:space="0" w:color="auto"/>
          </w:divBdr>
          <w:divsChild>
            <w:div w:id="909535962">
              <w:marLeft w:val="0"/>
              <w:marRight w:val="0"/>
              <w:marTop w:val="0"/>
              <w:marBottom w:val="0"/>
              <w:divBdr>
                <w:top w:val="none" w:sz="0" w:space="0" w:color="auto"/>
                <w:left w:val="none" w:sz="0" w:space="0" w:color="auto"/>
                <w:bottom w:val="none" w:sz="0" w:space="0" w:color="auto"/>
                <w:right w:val="none" w:sz="0" w:space="0" w:color="auto"/>
              </w:divBdr>
              <w:divsChild>
                <w:div w:id="1509834047">
                  <w:marLeft w:val="0"/>
                  <w:marRight w:val="0"/>
                  <w:marTop w:val="0"/>
                  <w:marBottom w:val="0"/>
                  <w:divBdr>
                    <w:top w:val="none" w:sz="0" w:space="0" w:color="auto"/>
                    <w:left w:val="none" w:sz="0" w:space="0" w:color="auto"/>
                    <w:bottom w:val="none" w:sz="0" w:space="0" w:color="auto"/>
                    <w:right w:val="none" w:sz="0" w:space="0" w:color="auto"/>
                  </w:divBdr>
                  <w:divsChild>
                    <w:div w:id="143594619">
                      <w:marLeft w:val="0"/>
                      <w:marRight w:val="0"/>
                      <w:marTop w:val="0"/>
                      <w:marBottom w:val="0"/>
                      <w:divBdr>
                        <w:top w:val="none" w:sz="0" w:space="0" w:color="auto"/>
                        <w:left w:val="none" w:sz="0" w:space="0" w:color="auto"/>
                        <w:bottom w:val="none" w:sz="0" w:space="0" w:color="auto"/>
                        <w:right w:val="none" w:sz="0" w:space="0" w:color="auto"/>
                      </w:divBdr>
                      <w:divsChild>
                        <w:div w:id="636954797">
                          <w:marLeft w:val="0"/>
                          <w:marRight w:val="0"/>
                          <w:marTop w:val="0"/>
                          <w:marBottom w:val="0"/>
                          <w:divBdr>
                            <w:top w:val="none" w:sz="0" w:space="0" w:color="auto"/>
                            <w:left w:val="none" w:sz="0" w:space="0" w:color="auto"/>
                            <w:bottom w:val="none" w:sz="0" w:space="0" w:color="auto"/>
                            <w:right w:val="none" w:sz="0" w:space="0" w:color="auto"/>
                          </w:divBdr>
                          <w:divsChild>
                            <w:div w:id="61215606">
                              <w:marLeft w:val="0"/>
                              <w:marRight w:val="0"/>
                              <w:marTop w:val="0"/>
                              <w:marBottom w:val="0"/>
                              <w:divBdr>
                                <w:top w:val="none" w:sz="0" w:space="0" w:color="auto"/>
                                <w:left w:val="none" w:sz="0" w:space="0" w:color="auto"/>
                                <w:bottom w:val="none" w:sz="0" w:space="0" w:color="auto"/>
                                <w:right w:val="none" w:sz="0" w:space="0" w:color="auto"/>
                              </w:divBdr>
                              <w:divsChild>
                                <w:div w:id="589003641">
                                  <w:marLeft w:val="0"/>
                                  <w:marRight w:val="0"/>
                                  <w:marTop w:val="0"/>
                                  <w:marBottom w:val="0"/>
                                  <w:divBdr>
                                    <w:top w:val="none" w:sz="0" w:space="0" w:color="auto"/>
                                    <w:left w:val="none" w:sz="0" w:space="0" w:color="auto"/>
                                    <w:bottom w:val="none" w:sz="0" w:space="0" w:color="auto"/>
                                    <w:right w:val="none" w:sz="0" w:space="0" w:color="auto"/>
                                  </w:divBdr>
                                  <w:divsChild>
                                    <w:div w:id="1912042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8177142">
                      <w:marLeft w:val="0"/>
                      <w:marRight w:val="0"/>
                      <w:marTop w:val="0"/>
                      <w:marBottom w:val="0"/>
                      <w:divBdr>
                        <w:top w:val="none" w:sz="0" w:space="0" w:color="auto"/>
                        <w:left w:val="none" w:sz="0" w:space="0" w:color="auto"/>
                        <w:bottom w:val="none" w:sz="0" w:space="0" w:color="auto"/>
                        <w:right w:val="none" w:sz="0" w:space="0" w:color="auto"/>
                      </w:divBdr>
                      <w:divsChild>
                        <w:div w:id="1006053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6659197">
      <w:bodyDiv w:val="1"/>
      <w:marLeft w:val="0"/>
      <w:marRight w:val="0"/>
      <w:marTop w:val="0"/>
      <w:marBottom w:val="0"/>
      <w:divBdr>
        <w:top w:val="none" w:sz="0" w:space="0" w:color="auto"/>
        <w:left w:val="none" w:sz="0" w:space="0" w:color="auto"/>
        <w:bottom w:val="none" w:sz="0" w:space="0" w:color="auto"/>
        <w:right w:val="none" w:sz="0" w:space="0" w:color="auto"/>
      </w:divBdr>
    </w:div>
    <w:div w:id="1111708957">
      <w:bodyDiv w:val="1"/>
      <w:marLeft w:val="0"/>
      <w:marRight w:val="0"/>
      <w:marTop w:val="0"/>
      <w:marBottom w:val="0"/>
      <w:divBdr>
        <w:top w:val="none" w:sz="0" w:space="0" w:color="auto"/>
        <w:left w:val="none" w:sz="0" w:space="0" w:color="auto"/>
        <w:bottom w:val="none" w:sz="0" w:space="0" w:color="auto"/>
        <w:right w:val="none" w:sz="0" w:space="0" w:color="auto"/>
      </w:divBdr>
    </w:div>
    <w:div w:id="116366123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9821792">
      <w:bodyDiv w:val="1"/>
      <w:marLeft w:val="0"/>
      <w:marRight w:val="0"/>
      <w:marTop w:val="0"/>
      <w:marBottom w:val="0"/>
      <w:divBdr>
        <w:top w:val="none" w:sz="0" w:space="0" w:color="auto"/>
        <w:left w:val="none" w:sz="0" w:space="0" w:color="auto"/>
        <w:bottom w:val="none" w:sz="0" w:space="0" w:color="auto"/>
        <w:right w:val="none" w:sz="0" w:space="0" w:color="auto"/>
      </w:divBdr>
    </w:div>
    <w:div w:id="1245800788">
      <w:bodyDiv w:val="1"/>
      <w:marLeft w:val="0"/>
      <w:marRight w:val="0"/>
      <w:marTop w:val="0"/>
      <w:marBottom w:val="0"/>
      <w:divBdr>
        <w:top w:val="none" w:sz="0" w:space="0" w:color="auto"/>
        <w:left w:val="none" w:sz="0" w:space="0" w:color="auto"/>
        <w:bottom w:val="none" w:sz="0" w:space="0" w:color="auto"/>
        <w:right w:val="none" w:sz="0" w:space="0" w:color="auto"/>
      </w:divBdr>
    </w:div>
    <w:div w:id="1262647487">
      <w:bodyDiv w:val="1"/>
      <w:marLeft w:val="0"/>
      <w:marRight w:val="0"/>
      <w:marTop w:val="0"/>
      <w:marBottom w:val="0"/>
      <w:divBdr>
        <w:top w:val="none" w:sz="0" w:space="0" w:color="auto"/>
        <w:left w:val="none" w:sz="0" w:space="0" w:color="auto"/>
        <w:bottom w:val="none" w:sz="0" w:space="0" w:color="auto"/>
        <w:right w:val="none" w:sz="0" w:space="0" w:color="auto"/>
      </w:divBdr>
    </w:div>
    <w:div w:id="1300190130">
      <w:bodyDiv w:val="1"/>
      <w:marLeft w:val="0"/>
      <w:marRight w:val="0"/>
      <w:marTop w:val="0"/>
      <w:marBottom w:val="0"/>
      <w:divBdr>
        <w:top w:val="none" w:sz="0" w:space="0" w:color="auto"/>
        <w:left w:val="none" w:sz="0" w:space="0" w:color="auto"/>
        <w:bottom w:val="none" w:sz="0" w:space="0" w:color="auto"/>
        <w:right w:val="none" w:sz="0" w:space="0" w:color="auto"/>
      </w:divBdr>
    </w:div>
    <w:div w:id="1531454525">
      <w:bodyDiv w:val="1"/>
      <w:marLeft w:val="0"/>
      <w:marRight w:val="0"/>
      <w:marTop w:val="0"/>
      <w:marBottom w:val="0"/>
      <w:divBdr>
        <w:top w:val="none" w:sz="0" w:space="0" w:color="auto"/>
        <w:left w:val="none" w:sz="0" w:space="0" w:color="auto"/>
        <w:bottom w:val="none" w:sz="0" w:space="0" w:color="auto"/>
        <w:right w:val="none" w:sz="0" w:space="0" w:color="auto"/>
      </w:divBdr>
    </w:div>
    <w:div w:id="1538810589">
      <w:bodyDiv w:val="1"/>
      <w:marLeft w:val="0"/>
      <w:marRight w:val="0"/>
      <w:marTop w:val="0"/>
      <w:marBottom w:val="0"/>
      <w:divBdr>
        <w:top w:val="none" w:sz="0" w:space="0" w:color="auto"/>
        <w:left w:val="none" w:sz="0" w:space="0" w:color="auto"/>
        <w:bottom w:val="none" w:sz="0" w:space="0" w:color="auto"/>
        <w:right w:val="none" w:sz="0" w:space="0" w:color="auto"/>
      </w:divBdr>
    </w:div>
    <w:div w:id="1801848214">
      <w:bodyDiv w:val="1"/>
      <w:marLeft w:val="0"/>
      <w:marRight w:val="0"/>
      <w:marTop w:val="0"/>
      <w:marBottom w:val="0"/>
      <w:divBdr>
        <w:top w:val="none" w:sz="0" w:space="0" w:color="auto"/>
        <w:left w:val="none" w:sz="0" w:space="0" w:color="auto"/>
        <w:bottom w:val="none" w:sz="0" w:space="0" w:color="auto"/>
        <w:right w:val="none" w:sz="0" w:space="0" w:color="auto"/>
      </w:divBdr>
      <w:divsChild>
        <w:div w:id="1845590391">
          <w:marLeft w:val="0"/>
          <w:marRight w:val="0"/>
          <w:marTop w:val="0"/>
          <w:marBottom w:val="0"/>
          <w:divBdr>
            <w:top w:val="none" w:sz="0" w:space="0" w:color="auto"/>
            <w:left w:val="none" w:sz="0" w:space="0" w:color="auto"/>
            <w:bottom w:val="none" w:sz="0" w:space="0" w:color="auto"/>
            <w:right w:val="none" w:sz="0" w:space="0" w:color="auto"/>
          </w:divBdr>
          <w:divsChild>
            <w:div w:id="654143448">
              <w:marLeft w:val="0"/>
              <w:marRight w:val="0"/>
              <w:marTop w:val="0"/>
              <w:marBottom w:val="0"/>
              <w:divBdr>
                <w:top w:val="none" w:sz="0" w:space="0" w:color="auto"/>
                <w:left w:val="none" w:sz="0" w:space="0" w:color="auto"/>
                <w:bottom w:val="none" w:sz="0" w:space="0" w:color="auto"/>
                <w:right w:val="none" w:sz="0" w:space="0" w:color="auto"/>
              </w:divBdr>
              <w:divsChild>
                <w:div w:id="2113426482">
                  <w:marLeft w:val="0"/>
                  <w:marRight w:val="0"/>
                  <w:marTop w:val="0"/>
                  <w:marBottom w:val="0"/>
                  <w:divBdr>
                    <w:top w:val="none" w:sz="0" w:space="0" w:color="auto"/>
                    <w:left w:val="none" w:sz="0" w:space="0" w:color="auto"/>
                    <w:bottom w:val="none" w:sz="0" w:space="0" w:color="auto"/>
                    <w:right w:val="none" w:sz="0" w:space="0" w:color="auto"/>
                  </w:divBdr>
                  <w:divsChild>
                    <w:div w:id="425032943">
                      <w:marLeft w:val="0"/>
                      <w:marRight w:val="0"/>
                      <w:marTop w:val="0"/>
                      <w:marBottom w:val="0"/>
                      <w:divBdr>
                        <w:top w:val="none" w:sz="0" w:space="0" w:color="auto"/>
                        <w:left w:val="none" w:sz="0" w:space="0" w:color="auto"/>
                        <w:bottom w:val="none" w:sz="0" w:space="0" w:color="auto"/>
                        <w:right w:val="none" w:sz="0" w:space="0" w:color="auto"/>
                      </w:divBdr>
                      <w:divsChild>
                        <w:div w:id="664666169">
                          <w:marLeft w:val="0"/>
                          <w:marRight w:val="0"/>
                          <w:marTop w:val="0"/>
                          <w:marBottom w:val="0"/>
                          <w:divBdr>
                            <w:top w:val="none" w:sz="0" w:space="0" w:color="auto"/>
                            <w:left w:val="none" w:sz="0" w:space="0" w:color="auto"/>
                            <w:bottom w:val="none" w:sz="0" w:space="0" w:color="auto"/>
                            <w:right w:val="none" w:sz="0" w:space="0" w:color="auto"/>
                          </w:divBdr>
                          <w:divsChild>
                            <w:div w:id="174882812">
                              <w:marLeft w:val="0"/>
                              <w:marRight w:val="0"/>
                              <w:marTop w:val="0"/>
                              <w:marBottom w:val="0"/>
                              <w:divBdr>
                                <w:top w:val="none" w:sz="0" w:space="0" w:color="auto"/>
                                <w:left w:val="none" w:sz="0" w:space="0" w:color="auto"/>
                                <w:bottom w:val="none" w:sz="0" w:space="0" w:color="auto"/>
                                <w:right w:val="none" w:sz="0" w:space="0" w:color="auto"/>
                              </w:divBdr>
                              <w:divsChild>
                                <w:div w:id="619070726">
                                  <w:marLeft w:val="0"/>
                                  <w:marRight w:val="0"/>
                                  <w:marTop w:val="0"/>
                                  <w:marBottom w:val="0"/>
                                  <w:divBdr>
                                    <w:top w:val="none" w:sz="0" w:space="0" w:color="auto"/>
                                    <w:left w:val="none" w:sz="0" w:space="0" w:color="auto"/>
                                    <w:bottom w:val="none" w:sz="0" w:space="0" w:color="auto"/>
                                    <w:right w:val="none" w:sz="0" w:space="0" w:color="auto"/>
                                  </w:divBdr>
                                  <w:divsChild>
                                    <w:div w:id="34964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0692470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1849825547">
      <w:bodyDiv w:val="1"/>
      <w:marLeft w:val="0"/>
      <w:marRight w:val="0"/>
      <w:marTop w:val="0"/>
      <w:marBottom w:val="0"/>
      <w:divBdr>
        <w:top w:val="none" w:sz="0" w:space="0" w:color="auto"/>
        <w:left w:val="none" w:sz="0" w:space="0" w:color="auto"/>
        <w:bottom w:val="none" w:sz="0" w:space="0" w:color="auto"/>
        <w:right w:val="none" w:sz="0" w:space="0" w:color="auto"/>
      </w:divBdr>
    </w:div>
    <w:div w:id="1931157311">
      <w:bodyDiv w:val="1"/>
      <w:marLeft w:val="0"/>
      <w:marRight w:val="0"/>
      <w:marTop w:val="0"/>
      <w:marBottom w:val="0"/>
      <w:divBdr>
        <w:top w:val="none" w:sz="0" w:space="0" w:color="auto"/>
        <w:left w:val="none" w:sz="0" w:space="0" w:color="auto"/>
        <w:bottom w:val="none" w:sz="0" w:space="0" w:color="auto"/>
        <w:right w:val="none" w:sz="0" w:space="0" w:color="auto"/>
      </w:divBdr>
    </w:div>
    <w:div w:id="1963144337">
      <w:bodyDiv w:val="1"/>
      <w:marLeft w:val="0"/>
      <w:marRight w:val="0"/>
      <w:marTop w:val="0"/>
      <w:marBottom w:val="0"/>
      <w:divBdr>
        <w:top w:val="none" w:sz="0" w:space="0" w:color="auto"/>
        <w:left w:val="none" w:sz="0" w:space="0" w:color="auto"/>
        <w:bottom w:val="none" w:sz="0" w:space="0" w:color="auto"/>
        <w:right w:val="none" w:sz="0" w:space="0" w:color="auto"/>
      </w:divBdr>
    </w:div>
    <w:div w:id="2009868255">
      <w:bodyDiv w:val="1"/>
      <w:marLeft w:val="0"/>
      <w:marRight w:val="0"/>
      <w:marTop w:val="0"/>
      <w:marBottom w:val="0"/>
      <w:divBdr>
        <w:top w:val="none" w:sz="0" w:space="0" w:color="auto"/>
        <w:left w:val="none" w:sz="0" w:space="0" w:color="auto"/>
        <w:bottom w:val="none" w:sz="0" w:space="0" w:color="auto"/>
        <w:right w:val="none" w:sz="0" w:space="0" w:color="auto"/>
      </w:divBdr>
    </w:div>
    <w:div w:id="203379586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0954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55441/https:/www.superfinanciera.gov.co/loader.php?lServicio=Tools2&amp;lTipo=descargas&amp;lFuncion=descargar&amp;idFile=1067418"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50708155441/https:/www.superfinanciera.gov.co/loader.php?lServicio=Tools2&amp;lTipo=descargas&amp;lFuncion=descargar&amp;idFile=1067418"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20334/https:/www.superfinanciera.gov.co/loader.php?lServicio=Tools2&amp;lTipo=descargas&amp;lFuncion=descargar&amp;idFile=1061703"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8141258/https:/www.taxonomiaverde.gov.co/documents/316219/336660/Taxonom%C3%ADa+Verde+de+Colombia.pdf/f25c7843-9a15-17da-90f9-5d63763b85b6?t=164935272000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708155441/https:/www.superfinanciera.gov.co/loader.php?lServicio=Tools2&amp;lTipo=descargas&amp;lFuncion=descargar&amp;idFile=1067418"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08141258/https:/www.taxonomiaverde.gov.co/documents/316219/336660/Taxonom%C3%ADa+Verde+de+Colombia.pdf/f25c7843-9a15-17da-90f9-5d63763b85b6?t=1649352720000"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E5368341-CC32-46F5-8D87-46ADF60CA62D}"/>
</file>

<file path=docProps/app.xml><?xml version="1.0" encoding="utf-8"?>
<Properties xmlns="http://schemas.openxmlformats.org/officeDocument/2006/extended-properties" xmlns:vt="http://schemas.openxmlformats.org/officeDocument/2006/docPropsVTypes">
  <Template>Normal</Template>
  <TotalTime>1073</TotalTime>
  <Pages>64</Pages>
  <Words>27925</Words>
  <Characters>153588</Characters>
  <Application>Microsoft Office Word</Application>
  <DocSecurity>0</DocSecurity>
  <Lines>1279</Lines>
  <Paragraphs>362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181151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35</cp:revision>
  <cp:lastPrinted>2025-03-21T00:14:00Z</cp:lastPrinted>
  <dcterms:created xsi:type="dcterms:W3CDTF">2025-06-25T15:15:00Z</dcterms:created>
  <dcterms:modified xsi:type="dcterms:W3CDTF">2025-07-10T14:14:00Z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